
<file path=[Content_Types].xml><?xml version="1.0" encoding="utf-8"?>
<Types xmlns="http://schemas.openxmlformats.org/package/2006/content-types">
  <Default Extension="xml" ContentType="application/xml"/>
  <Default Extension="sldx" ContentType="application/vnd.openxmlformats-officedocument.presentationml.slide"/>
  <Default Extension="png" ContentType="image/png"/>
  <Default Extension="emf" ContentType="image/x-e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ind w:firstLine="0" w:firstLineChars="0"/>
        <w:jc w:val="center"/>
        <w:rPr>
          <w:rFonts w:asciiTheme="minorHAnsi" w:hAnsiTheme="minorHAnsi" w:eastAsiaTheme="minorEastAsia"/>
          <w:b/>
          <w:bCs/>
          <w:sz w:val="48"/>
          <w:szCs w:val="56"/>
          <w:highlight w:val="none"/>
        </w:rPr>
      </w:pPr>
      <w:bookmarkStart w:id="0" w:name="_Toc54343062"/>
      <w:r>
        <w:rPr>
          <w:rFonts w:hint="eastAsia"/>
          <w:b/>
          <w:bCs/>
          <w:sz w:val="48"/>
          <w:szCs w:val="36"/>
          <w:highlight w:val="none"/>
        </w:rPr>
        <w:t>张掖抽水蓄能电站</w:t>
      </w:r>
      <w:r>
        <w:rPr>
          <w:rFonts w:hint="eastAsia"/>
          <w:b/>
          <w:bCs/>
          <w:sz w:val="48"/>
          <w:szCs w:val="36"/>
          <w:highlight w:val="none"/>
          <w:lang w:val="en-US" w:eastAsia="zh-CN"/>
        </w:rPr>
        <w:t>边缘云架构设计方案建议书</w:t>
      </w:r>
    </w:p>
    <w:p>
      <w:pPr>
        <w:widowControl w:val="0"/>
        <w:ind w:firstLine="0" w:firstLineChars="0"/>
        <w:jc w:val="center"/>
        <w:rPr>
          <w:rFonts w:asciiTheme="minorHAnsi" w:hAnsiTheme="minorHAnsi" w:eastAsiaTheme="minorEastAsia"/>
          <w:b/>
          <w:bCs/>
          <w:sz w:val="40"/>
          <w:szCs w:val="48"/>
          <w:highlight w:val="none"/>
        </w:rPr>
      </w:pPr>
    </w:p>
    <w:p>
      <w:pPr>
        <w:widowControl w:val="0"/>
        <w:ind w:firstLine="0" w:firstLineChars="0"/>
        <w:jc w:val="center"/>
        <w:rPr>
          <w:rFonts w:asciiTheme="minorHAnsi" w:hAnsiTheme="minorHAnsi" w:eastAsiaTheme="minorEastAsia"/>
          <w:b/>
          <w:bCs/>
          <w:sz w:val="40"/>
          <w:szCs w:val="48"/>
          <w:highlight w:val="none"/>
        </w:rPr>
      </w:pPr>
    </w:p>
    <w:p>
      <w:pPr>
        <w:widowControl w:val="0"/>
        <w:ind w:firstLine="0" w:firstLineChars="0"/>
        <w:jc w:val="center"/>
        <w:rPr>
          <w:rFonts w:asciiTheme="minorHAnsi" w:hAnsiTheme="minorHAnsi" w:eastAsiaTheme="minorEastAsia"/>
          <w:b/>
          <w:bCs/>
          <w:sz w:val="40"/>
          <w:szCs w:val="48"/>
          <w:highlight w:val="none"/>
        </w:rPr>
      </w:pPr>
    </w:p>
    <w:p>
      <w:pPr>
        <w:pStyle w:val="17"/>
        <w:ind w:left="1363" w:hanging="803"/>
        <w:rPr>
          <w:rFonts w:asciiTheme="minorHAnsi" w:hAnsiTheme="minorHAnsi" w:eastAsiaTheme="minorEastAsia"/>
          <w:b/>
          <w:bCs/>
          <w:sz w:val="40"/>
          <w:szCs w:val="48"/>
          <w:highlight w:val="none"/>
        </w:rPr>
      </w:pPr>
    </w:p>
    <w:p>
      <w:pPr>
        <w:ind w:firstLine="803"/>
        <w:rPr>
          <w:rFonts w:asciiTheme="minorHAnsi" w:hAnsiTheme="minorHAnsi" w:eastAsiaTheme="minorEastAsia"/>
          <w:b/>
          <w:bCs/>
          <w:sz w:val="40"/>
          <w:szCs w:val="48"/>
          <w:highlight w:val="none"/>
        </w:rPr>
      </w:pPr>
    </w:p>
    <w:p>
      <w:pPr>
        <w:pStyle w:val="17"/>
        <w:ind w:left="1363" w:hanging="803"/>
        <w:rPr>
          <w:rFonts w:asciiTheme="minorHAnsi" w:hAnsiTheme="minorHAnsi" w:eastAsiaTheme="minorEastAsia"/>
          <w:b/>
          <w:bCs/>
          <w:sz w:val="40"/>
          <w:szCs w:val="48"/>
          <w:highlight w:val="none"/>
        </w:rPr>
      </w:pPr>
    </w:p>
    <w:p>
      <w:pPr>
        <w:ind w:firstLine="560"/>
        <w:rPr>
          <w:highlight w:val="none"/>
        </w:rPr>
      </w:pPr>
    </w:p>
    <w:p>
      <w:pPr>
        <w:pStyle w:val="17"/>
        <w:ind w:left="1040" w:hanging="480"/>
        <w:rPr>
          <w:highlight w:val="none"/>
        </w:rPr>
      </w:pPr>
    </w:p>
    <w:p>
      <w:pPr>
        <w:ind w:firstLine="560"/>
        <w:rPr>
          <w:highlight w:val="none"/>
        </w:rPr>
      </w:pPr>
    </w:p>
    <w:p>
      <w:pPr>
        <w:widowControl w:val="0"/>
        <w:ind w:firstLine="0" w:firstLineChars="0"/>
        <w:jc w:val="center"/>
        <w:rPr>
          <w:rFonts w:asciiTheme="minorHAnsi" w:hAnsiTheme="minorHAnsi" w:eastAsiaTheme="minorEastAsia"/>
          <w:b/>
          <w:bCs/>
          <w:sz w:val="40"/>
          <w:szCs w:val="48"/>
          <w:highlight w:val="none"/>
        </w:rPr>
      </w:pPr>
    </w:p>
    <w:p>
      <w:pPr>
        <w:widowControl w:val="0"/>
        <w:ind w:firstLine="0" w:firstLineChars="0"/>
        <w:jc w:val="center"/>
        <w:rPr>
          <w:rFonts w:hint="eastAsia" w:asciiTheme="minorHAnsi" w:hAnsiTheme="minorHAnsi" w:eastAsiaTheme="minorEastAsia"/>
          <w:b/>
          <w:bCs/>
          <w:sz w:val="40"/>
          <w:szCs w:val="48"/>
          <w:highlight w:val="none"/>
        </w:rPr>
      </w:pPr>
      <w:r>
        <w:rPr>
          <w:rFonts w:hint="eastAsia" w:asciiTheme="minorHAnsi" w:hAnsiTheme="minorHAnsi" w:eastAsiaTheme="minorEastAsia"/>
          <w:b/>
          <w:bCs/>
          <w:sz w:val="40"/>
          <w:szCs w:val="48"/>
          <w:highlight w:val="none"/>
        </w:rPr>
        <w:t>2023年</w:t>
      </w:r>
      <w:r>
        <w:rPr>
          <w:rFonts w:hint="eastAsia" w:asciiTheme="minorHAnsi" w:hAnsiTheme="minorHAnsi" w:eastAsiaTheme="minorEastAsia"/>
          <w:b/>
          <w:bCs/>
          <w:sz w:val="40"/>
          <w:szCs w:val="48"/>
          <w:highlight w:val="none"/>
          <w:lang w:val="en-US" w:eastAsia="zh-CN"/>
        </w:rPr>
        <w:t>11</w:t>
      </w:r>
      <w:r>
        <w:rPr>
          <w:rFonts w:hint="eastAsia" w:asciiTheme="minorHAnsi" w:hAnsiTheme="minorHAnsi" w:eastAsiaTheme="minorEastAsia"/>
          <w:b/>
          <w:bCs/>
          <w:sz w:val="40"/>
          <w:szCs w:val="48"/>
          <w:highlight w:val="none"/>
        </w:rPr>
        <w:t>月</w:t>
      </w:r>
    </w:p>
    <w:p>
      <w:pPr>
        <w:pStyle w:val="2"/>
        <w:rPr>
          <w:rFonts w:hint="eastAsia" w:asciiTheme="minorHAnsi" w:hAnsiTheme="minorHAnsi" w:eastAsiaTheme="minorEastAsia"/>
          <w:b/>
          <w:bCs/>
          <w:sz w:val="40"/>
          <w:szCs w:val="48"/>
          <w:highlight w:val="none"/>
        </w:rPr>
      </w:pPr>
    </w:p>
    <w:p>
      <w:pPr>
        <w:pStyle w:val="2"/>
        <w:rPr>
          <w:rFonts w:hint="eastAsia" w:asciiTheme="minorHAnsi" w:hAnsiTheme="minorHAnsi" w:eastAsiaTheme="minorEastAsia"/>
          <w:b/>
          <w:bCs/>
          <w:sz w:val="40"/>
          <w:szCs w:val="48"/>
          <w:highlight w:val="none"/>
        </w:rPr>
      </w:pPr>
    </w:p>
    <w:p>
      <w:pPr>
        <w:pStyle w:val="2"/>
        <w:rPr>
          <w:rFonts w:hint="eastAsia" w:asciiTheme="minorHAnsi" w:hAnsiTheme="minorHAnsi" w:eastAsiaTheme="minorEastAsia"/>
          <w:b/>
          <w:bCs/>
          <w:sz w:val="40"/>
          <w:szCs w:val="48"/>
          <w:highlight w:val="none"/>
        </w:rPr>
      </w:pPr>
    </w:p>
    <w:p>
      <w:pPr>
        <w:pStyle w:val="2"/>
        <w:rPr>
          <w:rFonts w:hint="eastAsia" w:asciiTheme="minorHAnsi" w:hAnsiTheme="minorHAnsi" w:eastAsiaTheme="minorEastAsia"/>
          <w:b/>
          <w:bCs/>
          <w:sz w:val="40"/>
          <w:szCs w:val="48"/>
          <w:highlight w:val="none"/>
        </w:rPr>
      </w:pPr>
    </w:p>
    <w:p>
      <w:pPr>
        <w:rPr>
          <w:sz w:val="24"/>
          <w:szCs w:val="24"/>
        </w:rPr>
      </w:pPr>
    </w:p>
    <w:p>
      <w:pPr>
        <w:pStyle w:val="2"/>
        <w:rPr>
          <w:sz w:val="24"/>
          <w:szCs w:val="24"/>
        </w:rPr>
      </w:pPr>
    </w:p>
    <w:p>
      <w:pPr>
        <w:pStyle w:val="2"/>
        <w:rPr>
          <w:sz w:val="24"/>
          <w:szCs w:val="24"/>
        </w:rPr>
      </w:pPr>
      <w:bookmarkStart w:id="104" w:name="_GoBack"/>
      <w:bookmarkEnd w:id="104"/>
    </w:p>
    <w:p>
      <w:pPr>
        <w:pStyle w:val="4"/>
        <w:rPr>
          <w:sz w:val="24"/>
          <w:szCs w:val="24"/>
        </w:rPr>
      </w:pPr>
      <w:r>
        <w:rPr>
          <w:rFonts w:hint="eastAsia"/>
          <w:sz w:val="24"/>
          <w:szCs w:val="24"/>
        </w:rPr>
        <w:t>边缘云架构总体设计</w:t>
      </w:r>
      <w:bookmarkEnd w:id="0"/>
    </w:p>
    <w:p>
      <w:pPr>
        <w:pStyle w:val="5"/>
        <w:rPr>
          <w:sz w:val="24"/>
          <w:szCs w:val="24"/>
        </w:rPr>
      </w:pPr>
      <w:bookmarkStart w:id="1" w:name="_Toc54343063"/>
      <w:r>
        <w:rPr>
          <w:rFonts w:hint="eastAsia"/>
          <w:sz w:val="24"/>
          <w:szCs w:val="24"/>
        </w:rPr>
        <w:t>边缘云架构总体框架</w:t>
      </w:r>
      <w:bookmarkEnd w:id="1"/>
    </w:p>
    <w:p>
      <w:pPr>
        <w:spacing w:line="360" w:lineRule="auto"/>
        <w:ind w:left="0" w:firstLine="425"/>
        <w:rPr>
          <w:sz w:val="24"/>
          <w:szCs w:val="24"/>
        </w:rPr>
      </w:pPr>
      <w:r>
        <w:rPr>
          <w:rFonts w:hint="eastAsia"/>
          <w:sz w:val="24"/>
          <w:szCs w:val="24"/>
        </w:rPr>
        <w:t>本次边缘云采购采用超融合组网，超融合架构是近年增长较快的企业私有云解决方案技术。超融合技术是实现SDDC（Software Defined Data Center，软件定义数据中心）的最佳方案。SDDC通过软件来调动数据中心的资源，使得数据中心的管理摆脱定制管理硬件和解决方案，并提升了升级的灵活和速度。超融合架构则使用虚拟化的技术实现了SDDC。用户基于SDDC可以构建出属于自己控制的私有云资源池并部署私有云应用。</w:t>
      </w:r>
    </w:p>
    <w:p>
      <w:pPr>
        <w:spacing w:line="360" w:lineRule="auto"/>
        <w:ind w:left="0" w:firstLine="425"/>
        <w:rPr>
          <w:sz w:val="24"/>
          <w:szCs w:val="24"/>
        </w:rPr>
      </w:pPr>
      <w:r>
        <w:rPr>
          <w:rFonts w:hint="eastAsia"/>
          <w:sz w:val="24"/>
          <w:szCs w:val="24"/>
        </w:rPr>
        <w:t>目前不同厂商对超融合架构的定义存在一些差别，我们引用ActualTech Media发布的《The Fundamentals of Hyper-converged Infrastructure》中的定义：</w:t>
      </w:r>
    </w:p>
    <w:p>
      <w:pPr>
        <w:pStyle w:val="129"/>
        <w:numPr>
          <w:ilvl w:val="0"/>
          <w:numId w:val="6"/>
        </w:numPr>
        <w:spacing w:line="360" w:lineRule="auto"/>
        <w:ind w:firstLineChars="0"/>
        <w:rPr>
          <w:sz w:val="24"/>
          <w:szCs w:val="24"/>
        </w:rPr>
      </w:pPr>
      <w:r>
        <w:rPr>
          <w:rFonts w:hint="eastAsia"/>
          <w:sz w:val="24"/>
          <w:szCs w:val="24"/>
        </w:rPr>
        <w:t>硬件上：超融合架构中原本大型企业</w:t>
      </w:r>
      <w:r>
        <w:rPr>
          <w:sz w:val="24"/>
          <w:szCs w:val="24"/>
        </w:rPr>
        <w:t>IT</w:t>
      </w:r>
      <w:r>
        <w:rPr>
          <w:rFonts w:hint="eastAsia"/>
          <w:sz w:val="24"/>
          <w:szCs w:val="24"/>
        </w:rPr>
        <w:t>系统分立的计算，存储及网络硬件融合在一起，放在了一个个服务器节点内；</w:t>
      </w:r>
    </w:p>
    <w:p>
      <w:pPr>
        <w:pStyle w:val="129"/>
        <w:numPr>
          <w:ilvl w:val="0"/>
          <w:numId w:val="6"/>
        </w:numPr>
        <w:spacing w:line="360" w:lineRule="auto"/>
        <w:ind w:firstLineChars="0"/>
        <w:rPr>
          <w:sz w:val="24"/>
          <w:szCs w:val="24"/>
        </w:rPr>
      </w:pPr>
      <w:r>
        <w:rPr>
          <w:rFonts w:hint="eastAsia"/>
          <w:sz w:val="24"/>
          <w:szCs w:val="24"/>
        </w:rPr>
        <w:t>软件上：超融合架构中所有的系统资源通过一个统一共享的软件管理接口来管理并给上层应用分享；</w:t>
      </w:r>
    </w:p>
    <w:p>
      <w:pPr>
        <w:spacing w:line="360" w:lineRule="auto"/>
        <w:ind w:left="0" w:firstLine="425"/>
        <w:rPr>
          <w:sz w:val="24"/>
          <w:szCs w:val="24"/>
        </w:rPr>
      </w:pPr>
      <w:r>
        <w:rPr>
          <w:rFonts w:hint="eastAsia"/>
          <w:sz w:val="24"/>
          <w:szCs w:val="24"/>
        </w:rPr>
        <w:t>除了以上定义，大众一般对超融合架构的主要认识为：“一个统一的管理平台，将DAS（Directed attached Storage，直接连接存储）变为资源池并消灭了存储阵列存在的必要性”。但这一定义的主要缺陷在于，超融合架构的主要目标是简化数据中心的管理，消除数据中心的分立管理问题，而消除存储阵列只是超融合架构一个较明显的特点。超融合架构和传统企业私有云架构在硬件上差异可见下图：</w:t>
      </w:r>
    </w:p>
    <w:p>
      <w:pPr>
        <w:pStyle w:val="59"/>
        <w:rPr>
          <w:sz w:val="24"/>
          <w:szCs w:val="24"/>
        </w:rPr>
      </w:pPr>
      <w:r>
        <w:rPr>
          <w:sz w:val="24"/>
          <w:szCs w:val="24"/>
        </w:rPr>
        <w:drawing>
          <wp:inline distT="0" distB="0" distL="0" distR="0">
            <wp:extent cx="5685155" cy="2599690"/>
            <wp:effectExtent l="0" t="0" r="0" b="0"/>
            <wp:docPr id="524" name="图片 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 name="图片 524"/>
                    <pic:cNvPicPr>
                      <a:picLocks noChangeAspect="1"/>
                    </pic:cNvPicPr>
                  </pic:nvPicPr>
                  <pic:blipFill>
                    <a:blip r:embed="rId6" cstate="email"/>
                    <a:stretch>
                      <a:fillRect/>
                    </a:stretch>
                  </pic:blipFill>
                  <pic:spPr>
                    <a:xfrm>
                      <a:off x="0" y="0"/>
                      <a:ext cx="5698286" cy="2605876"/>
                    </a:xfrm>
                    <a:prstGeom prst="rect">
                      <a:avLst/>
                    </a:prstGeom>
                  </pic:spPr>
                </pic:pic>
              </a:graphicData>
            </a:graphic>
          </wp:inline>
        </w:drawing>
      </w:r>
    </w:p>
    <w:p>
      <w:pPr>
        <w:pStyle w:val="51"/>
        <w:jc w:val="center"/>
        <w:rPr>
          <w:sz w:val="24"/>
          <w:szCs w:val="24"/>
        </w:rPr>
      </w:pPr>
      <w:bookmarkStart w:id="2" w:name="_Toc51687010"/>
      <w:bookmarkStart w:id="3" w:name="_Toc53504156"/>
      <w:r>
        <w:rPr>
          <w:rFonts w:hint="eastAsia"/>
          <w:sz w:val="24"/>
          <w:szCs w:val="24"/>
        </w:rPr>
        <w:t>传统私有云基础架构和超融合私有云架构的差异</w:t>
      </w:r>
      <w:bookmarkEnd w:id="2"/>
      <w:bookmarkEnd w:id="3"/>
    </w:p>
    <w:p>
      <w:pPr>
        <w:ind w:left="0" w:firstLine="425"/>
        <w:rPr>
          <w:sz w:val="24"/>
          <w:szCs w:val="24"/>
        </w:rPr>
      </w:pPr>
      <w:r>
        <w:rPr>
          <w:rFonts w:hint="eastAsia"/>
          <w:sz w:val="24"/>
          <w:szCs w:val="24"/>
        </w:rPr>
        <w:t>简单来说，超融合基础架构就是在计算节点上运行服务器虚拟化软件（Hypervisor）和存储虚拟化软件（Server SAN），将所有的计算节点通过网络聚合成一个统一的虚拟计算和虚拟存储资源池，以资源池的形式提供数据中心所需的IT基础设施。广义上来说，除了计算和存储虚拟化之外，超融合基础架构还可以整合网络虚拟化、安全虚拟化以及上层业务应用服务。当前业界普遍的共识是：软件定义的虚拟化计算和分布式存储是超融合基础架构的最小集。</w:t>
      </w:r>
    </w:p>
    <w:p>
      <w:pPr>
        <w:pStyle w:val="59"/>
        <w:rPr>
          <w:sz w:val="24"/>
          <w:szCs w:val="24"/>
        </w:rPr>
      </w:pPr>
      <w:r>
        <w:rPr>
          <w:sz w:val="24"/>
          <w:szCs w:val="24"/>
        </w:rPr>
        <w:drawing>
          <wp:inline distT="0" distB="0" distL="0" distR="0">
            <wp:extent cx="5724525" cy="2581910"/>
            <wp:effectExtent l="0" t="0" r="0" b="889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7" cstate="email"/>
                    <a:stretch>
                      <a:fillRect/>
                    </a:stretch>
                  </pic:blipFill>
                  <pic:spPr>
                    <a:xfrm>
                      <a:off x="0" y="0"/>
                      <a:ext cx="5742494" cy="2590348"/>
                    </a:xfrm>
                    <a:prstGeom prst="rect">
                      <a:avLst/>
                    </a:prstGeom>
                  </pic:spPr>
                </pic:pic>
              </a:graphicData>
            </a:graphic>
          </wp:inline>
        </w:drawing>
      </w:r>
    </w:p>
    <w:p>
      <w:pPr>
        <w:pStyle w:val="51"/>
        <w:jc w:val="center"/>
        <w:rPr>
          <w:sz w:val="24"/>
          <w:szCs w:val="24"/>
        </w:rPr>
      </w:pPr>
      <w:bookmarkStart w:id="4" w:name="_Toc51687011"/>
      <w:bookmarkStart w:id="5" w:name="_Toc53504157"/>
      <w:r>
        <w:rPr>
          <w:rFonts w:hint="eastAsia"/>
          <w:sz w:val="24"/>
          <w:szCs w:val="24"/>
        </w:rPr>
        <w:t>超融合基础架构的软硬件设计思路</w:t>
      </w:r>
      <w:bookmarkEnd w:id="4"/>
      <w:bookmarkEnd w:id="5"/>
    </w:p>
    <w:p>
      <w:pPr>
        <w:ind w:left="0" w:firstLine="420"/>
        <w:rPr>
          <w:sz w:val="24"/>
          <w:szCs w:val="24"/>
        </w:rPr>
      </w:pPr>
      <w:r>
        <w:rPr>
          <w:rFonts w:hint="eastAsia"/>
          <w:sz w:val="24"/>
          <w:szCs w:val="24"/>
        </w:rPr>
        <w:t>超融合基础架构的软硬件设计思路如上图所示。每个标准x86架构的计算节点上都部署了虚拟化软件与分布式存储软件，计算节点上的本地磁盘通过存储网络聚合成一个分布式存储资源池，以虚拟抽象层的形式向上层虚拟机提供存储基础架构服务，超融合基础架构统一管理平台则提供物理资源与虚拟资源的集中配置与监控管理服务，实现IT基础架构的快速部署和精简运维。</w:t>
      </w:r>
    </w:p>
    <w:p>
      <w:pPr>
        <w:ind w:left="0" w:firstLine="420"/>
        <w:rPr>
          <w:sz w:val="24"/>
          <w:szCs w:val="24"/>
        </w:rPr>
      </w:pPr>
      <w:r>
        <w:rPr>
          <w:rFonts w:hint="eastAsia"/>
          <w:sz w:val="24"/>
          <w:szCs w:val="24"/>
        </w:rPr>
        <w:t>超融合中的“超”并非“超级（Super）”的意思，而是特指软件定义技术架构，突出软件定义的含义，包括软件定义计算（Hypervisor）、软件定义存储（Server SAN）和软件定义网络（NFV：Network Function Virtualization，网络功能虚拟化）三个方面。</w:t>
      </w:r>
    </w:p>
    <w:p>
      <w:pPr>
        <w:ind w:left="0" w:firstLine="420"/>
        <w:rPr>
          <w:sz w:val="24"/>
          <w:szCs w:val="24"/>
        </w:rPr>
      </w:pPr>
      <w:r>
        <w:rPr>
          <w:rFonts w:hint="eastAsia"/>
          <w:sz w:val="24"/>
          <w:szCs w:val="24"/>
        </w:rPr>
        <w:t>边缘云</w:t>
      </w:r>
      <w:r>
        <w:rPr>
          <w:sz w:val="24"/>
          <w:szCs w:val="24"/>
        </w:rPr>
        <w:t>超融合</w:t>
      </w:r>
      <w:r>
        <w:rPr>
          <w:rFonts w:hint="eastAsia"/>
          <w:sz w:val="24"/>
          <w:szCs w:val="24"/>
        </w:rPr>
        <w:t>架构遵循开放架构标准，在通用X86和ARM服务器上无缝集成计算虚拟化、网络虚拟化、存储虚拟化、虚拟化安全、运维监控管理、云业务流程交付等软件技术，实现资源模块化的横向弹性伸缩，形成统一的计算与存储资源池，不仅可以精简数据中心服务器数量，整合数据中心 IT 基础设施资源，精简 IT 操作，提高管理效率，达到提高物理资源利用率和降低整体拥有成本的目的。</w:t>
      </w:r>
    </w:p>
    <w:p>
      <w:pPr>
        <w:pStyle w:val="59"/>
        <w:jc w:val="center"/>
        <w:rPr>
          <w:sz w:val="24"/>
          <w:szCs w:val="24"/>
        </w:rPr>
      </w:pPr>
      <w:r>
        <w:rPr>
          <w:sz w:val="24"/>
          <w:szCs w:val="24"/>
        </w:rPr>
        <w:drawing>
          <wp:inline distT="0" distB="0" distL="0" distR="0">
            <wp:extent cx="4922520" cy="2946400"/>
            <wp:effectExtent l="0" t="0" r="0" b="635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8"/>
                    <a:stretch>
                      <a:fillRect/>
                    </a:stretch>
                  </pic:blipFill>
                  <pic:spPr>
                    <a:xfrm>
                      <a:off x="0" y="0"/>
                      <a:ext cx="4926540" cy="2949043"/>
                    </a:xfrm>
                    <a:prstGeom prst="rect">
                      <a:avLst/>
                    </a:prstGeom>
                  </pic:spPr>
                </pic:pic>
              </a:graphicData>
            </a:graphic>
          </wp:inline>
        </w:drawing>
      </w:r>
    </w:p>
    <w:p>
      <w:pPr>
        <w:pStyle w:val="51"/>
        <w:jc w:val="center"/>
        <w:rPr>
          <w:sz w:val="24"/>
          <w:szCs w:val="24"/>
        </w:rPr>
      </w:pPr>
      <w:r>
        <w:rPr>
          <w:rFonts w:hint="eastAsia"/>
          <w:sz w:val="24"/>
          <w:szCs w:val="24"/>
        </w:rPr>
        <w:t>边缘云</w:t>
      </w:r>
      <w:r>
        <w:rPr>
          <w:sz w:val="24"/>
          <w:szCs w:val="24"/>
        </w:rPr>
        <w:t>超融合</w:t>
      </w:r>
      <w:r>
        <w:rPr>
          <w:rFonts w:hint="eastAsia"/>
          <w:sz w:val="24"/>
          <w:szCs w:val="24"/>
        </w:rPr>
        <w:t xml:space="preserve">架构 </w:t>
      </w:r>
    </w:p>
    <w:p>
      <w:pPr>
        <w:ind w:left="0" w:firstLine="420"/>
        <w:rPr>
          <w:sz w:val="24"/>
          <w:szCs w:val="24"/>
        </w:rPr>
      </w:pPr>
      <w:r>
        <w:rPr>
          <w:rFonts w:hint="eastAsia"/>
          <w:sz w:val="24"/>
          <w:szCs w:val="24"/>
        </w:rPr>
        <w:t>边缘云</w:t>
      </w:r>
      <w:r>
        <w:rPr>
          <w:sz w:val="24"/>
          <w:szCs w:val="24"/>
        </w:rPr>
        <w:t>超融合</w:t>
      </w:r>
      <w:r>
        <w:rPr>
          <w:rFonts w:hint="eastAsia"/>
          <w:sz w:val="24"/>
          <w:szCs w:val="24"/>
        </w:rPr>
        <w:t>架构在</w:t>
      </w:r>
      <w:r>
        <w:rPr>
          <w:sz w:val="24"/>
          <w:szCs w:val="24"/>
        </w:rPr>
        <w:t>传统超融合架构基础上，</w:t>
      </w:r>
      <w:r>
        <w:rPr>
          <w:rFonts w:hint="eastAsia"/>
          <w:sz w:val="24"/>
          <w:szCs w:val="24"/>
        </w:rPr>
        <w:t>集成异构</w:t>
      </w:r>
      <w:r>
        <w:rPr>
          <w:sz w:val="24"/>
          <w:szCs w:val="24"/>
        </w:rPr>
        <w:t>硬件统一</w:t>
      </w:r>
      <w:r>
        <w:rPr>
          <w:rFonts w:hint="eastAsia"/>
          <w:sz w:val="24"/>
          <w:szCs w:val="24"/>
        </w:rPr>
        <w:t>引擎、智能加速引擎、云原生引擎和</w:t>
      </w:r>
      <w:r>
        <w:rPr>
          <w:sz w:val="24"/>
          <w:szCs w:val="24"/>
        </w:rPr>
        <w:t>多租户云平台</w:t>
      </w:r>
      <w:r>
        <w:rPr>
          <w:rFonts w:hint="eastAsia"/>
          <w:sz w:val="24"/>
          <w:szCs w:val="24"/>
        </w:rPr>
        <w:t>，利用ABC（AI</w:t>
      </w:r>
      <w:r>
        <w:rPr>
          <w:sz w:val="24"/>
          <w:szCs w:val="24"/>
        </w:rPr>
        <w:t>、大数据、云</w:t>
      </w:r>
      <w:r>
        <w:rPr>
          <w:rFonts w:hint="eastAsia"/>
          <w:sz w:val="24"/>
          <w:szCs w:val="24"/>
        </w:rPr>
        <w:t>计算）融合、智能加速、高速网络聚合、</w:t>
      </w:r>
      <w:r>
        <w:rPr>
          <w:sz w:val="24"/>
          <w:szCs w:val="24"/>
        </w:rPr>
        <w:t>云原生</w:t>
      </w:r>
      <w:r>
        <w:rPr>
          <w:rFonts w:hint="eastAsia"/>
          <w:sz w:val="24"/>
          <w:szCs w:val="24"/>
        </w:rPr>
        <w:t>等先进技术，为客户提供极致体验的云基础架构，</w:t>
      </w:r>
      <w:r>
        <w:rPr>
          <w:sz w:val="24"/>
          <w:szCs w:val="24"/>
        </w:rPr>
        <w:t>助力</w:t>
      </w:r>
      <w:r>
        <w:rPr>
          <w:rFonts w:hint="eastAsia"/>
          <w:sz w:val="24"/>
          <w:szCs w:val="24"/>
        </w:rPr>
        <w:t>企业数字化</w:t>
      </w:r>
      <w:r>
        <w:rPr>
          <w:sz w:val="24"/>
          <w:szCs w:val="24"/>
        </w:rPr>
        <w:t>转型</w:t>
      </w:r>
      <w:r>
        <w:rPr>
          <w:rFonts w:hint="eastAsia"/>
          <w:sz w:val="24"/>
          <w:szCs w:val="24"/>
        </w:rPr>
        <w:t>！</w:t>
      </w:r>
    </w:p>
    <w:p>
      <w:pPr>
        <w:pStyle w:val="129"/>
        <w:numPr>
          <w:ilvl w:val="0"/>
          <w:numId w:val="7"/>
        </w:numPr>
        <w:ind w:firstLineChars="0"/>
        <w:rPr>
          <w:sz w:val="24"/>
          <w:szCs w:val="24"/>
        </w:rPr>
      </w:pPr>
      <w:r>
        <w:rPr>
          <w:rFonts w:hint="eastAsia"/>
          <w:bCs/>
          <w:sz w:val="24"/>
          <w:szCs w:val="24"/>
        </w:rPr>
        <w:t>智能加速引擎，前后端全智能加速，支持对虚拟化、裸金属、容器、函数计算的加速能力，</w:t>
      </w:r>
      <w:r>
        <w:rPr>
          <w:rFonts w:hint="eastAsia"/>
          <w:sz w:val="24"/>
          <w:szCs w:val="24"/>
        </w:rPr>
        <w:t>主机侧虚拟化损耗为零</w:t>
      </w:r>
      <w:r>
        <w:rPr>
          <w:sz w:val="24"/>
          <w:szCs w:val="24"/>
        </w:rPr>
        <w:t xml:space="preserve">, </w:t>
      </w:r>
      <w:r>
        <w:rPr>
          <w:rFonts w:hint="eastAsia"/>
          <w:sz w:val="24"/>
          <w:szCs w:val="24"/>
        </w:rPr>
        <w:t>网络转发性能大幅</w:t>
      </w:r>
      <w:r>
        <w:rPr>
          <w:sz w:val="24"/>
          <w:szCs w:val="24"/>
        </w:rPr>
        <w:t>提升</w:t>
      </w:r>
      <w:r>
        <w:rPr>
          <w:rFonts w:hint="eastAsia"/>
          <w:sz w:val="24"/>
          <w:szCs w:val="24"/>
        </w:rPr>
        <w:t>。</w:t>
      </w:r>
    </w:p>
    <w:p>
      <w:pPr>
        <w:pStyle w:val="129"/>
        <w:numPr>
          <w:ilvl w:val="0"/>
          <w:numId w:val="7"/>
        </w:numPr>
        <w:ind w:firstLineChars="0"/>
        <w:rPr>
          <w:sz w:val="24"/>
          <w:szCs w:val="24"/>
        </w:rPr>
      </w:pPr>
      <w:r>
        <w:rPr>
          <w:rFonts w:hint="eastAsia"/>
          <w:sz w:val="24"/>
          <w:szCs w:val="24"/>
        </w:rPr>
        <w:t>云原生引擎，可同时承载虚拟机、容器、</w:t>
      </w:r>
      <w:r>
        <w:rPr>
          <w:sz w:val="24"/>
          <w:szCs w:val="24"/>
        </w:rPr>
        <w:t>安全容器</w:t>
      </w:r>
      <w:r>
        <w:rPr>
          <w:rFonts w:hint="eastAsia"/>
          <w:sz w:val="24"/>
          <w:szCs w:val="24"/>
        </w:rPr>
        <w:t>和函数计算。内置的云原生运行环境体积小、速度快，资源利用率极大提升。</w:t>
      </w:r>
    </w:p>
    <w:p>
      <w:pPr>
        <w:pStyle w:val="129"/>
        <w:numPr>
          <w:ilvl w:val="0"/>
          <w:numId w:val="7"/>
        </w:numPr>
        <w:ind w:firstLineChars="0"/>
        <w:rPr>
          <w:sz w:val="24"/>
          <w:szCs w:val="24"/>
        </w:rPr>
      </w:pPr>
      <w:r>
        <w:rPr>
          <w:rFonts w:hint="eastAsia"/>
          <w:sz w:val="24"/>
          <w:szCs w:val="24"/>
        </w:rPr>
        <w:t>异构</w:t>
      </w:r>
      <w:r>
        <w:rPr>
          <w:sz w:val="24"/>
          <w:szCs w:val="24"/>
        </w:rPr>
        <w:t>硬件统一</w:t>
      </w:r>
      <w:r>
        <w:rPr>
          <w:rFonts w:hint="eastAsia"/>
          <w:sz w:val="24"/>
          <w:szCs w:val="24"/>
        </w:rPr>
        <w:t>引擎，支持</w:t>
      </w:r>
      <w:r>
        <w:rPr>
          <w:sz w:val="24"/>
          <w:szCs w:val="24"/>
        </w:rPr>
        <w:t>X86/ARM</w:t>
      </w:r>
      <w:r>
        <w:rPr>
          <w:rFonts w:hint="eastAsia"/>
          <w:sz w:val="24"/>
          <w:szCs w:val="24"/>
        </w:rPr>
        <w:t>混合集群，同时支持存储型、计算型、融合型节点统一管理，支持计算集群或存储集群按需</w:t>
      </w:r>
      <w:r>
        <w:rPr>
          <w:sz w:val="24"/>
          <w:szCs w:val="24"/>
        </w:rPr>
        <w:t>独立</w:t>
      </w:r>
      <w:r>
        <w:rPr>
          <w:rFonts w:hint="eastAsia"/>
          <w:sz w:val="24"/>
          <w:szCs w:val="24"/>
        </w:rPr>
        <w:t>扩展。</w:t>
      </w:r>
    </w:p>
    <w:p>
      <w:pPr>
        <w:pStyle w:val="129"/>
        <w:numPr>
          <w:ilvl w:val="0"/>
          <w:numId w:val="7"/>
        </w:numPr>
        <w:ind w:firstLineChars="0"/>
        <w:rPr>
          <w:sz w:val="24"/>
          <w:szCs w:val="24"/>
        </w:rPr>
      </w:pPr>
      <w:r>
        <w:rPr>
          <w:rFonts w:hint="eastAsia"/>
          <w:sz w:val="24"/>
          <w:szCs w:val="24"/>
        </w:rPr>
        <w:t>多租户云平台</w:t>
      </w:r>
      <w:r>
        <w:rPr>
          <w:sz w:val="24"/>
          <w:szCs w:val="24"/>
        </w:rPr>
        <w:t>，</w:t>
      </w:r>
      <w:r>
        <w:rPr>
          <w:rFonts w:hint="eastAsia" w:ascii="宋体" w:cs="宋体" w:hAnsiTheme="minorHAnsi"/>
          <w:kern w:val="0"/>
          <w:sz w:val="24"/>
          <w:szCs w:val="24"/>
          <w:lang w:val="zh-CN"/>
        </w:rPr>
        <w:t>支持多租户和基于角色的分级分权管理模式，结合自助服务工单和流程审批自定义，实现自动化运维和资源量化可追踪。可</w:t>
      </w:r>
      <w:r>
        <w:rPr>
          <w:rFonts w:ascii="宋体" w:cs="宋体" w:hAnsiTheme="minorHAnsi"/>
          <w:kern w:val="0"/>
          <w:sz w:val="24"/>
          <w:szCs w:val="24"/>
          <w:lang w:val="zh-CN"/>
        </w:rPr>
        <w:t>扩展ABC能力。</w:t>
      </w:r>
    </w:p>
    <w:p>
      <w:pPr>
        <w:ind w:left="0" w:firstLine="420"/>
        <w:rPr>
          <w:sz w:val="24"/>
          <w:szCs w:val="24"/>
        </w:rPr>
      </w:pPr>
      <w:r>
        <w:rPr>
          <w:rFonts w:hint="eastAsia"/>
          <w:sz w:val="24"/>
          <w:szCs w:val="24"/>
        </w:rPr>
        <w:t>边缘云</w:t>
      </w:r>
      <w:r>
        <w:rPr>
          <w:sz w:val="24"/>
          <w:szCs w:val="24"/>
        </w:rPr>
        <w:t>超融合</w:t>
      </w:r>
      <w:r>
        <w:rPr>
          <w:rFonts w:hint="eastAsia"/>
          <w:sz w:val="24"/>
          <w:szCs w:val="24"/>
        </w:rPr>
        <w:t>架构解决了传统数据中心架构下资源割裂、投入成本高、扩容复杂、上线周期长等问题，通过四大极致体验为客户重塑了数据中心基础架构。</w:t>
      </w:r>
    </w:p>
    <w:p>
      <w:pPr>
        <w:pStyle w:val="51"/>
        <w:numPr>
          <w:ilvl w:val="0"/>
          <w:numId w:val="0"/>
        </w:numPr>
        <w:ind w:left="624"/>
        <w:jc w:val="center"/>
        <w:rPr>
          <w:sz w:val="24"/>
          <w:szCs w:val="24"/>
        </w:rPr>
      </w:pPr>
      <w:r>
        <w:rPr>
          <w:sz w:val="24"/>
          <w:szCs w:val="24"/>
        </w:rPr>
        <w:drawing>
          <wp:inline distT="0" distB="0" distL="0" distR="0">
            <wp:extent cx="4867910" cy="2007235"/>
            <wp:effectExtent l="0" t="0" r="889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4873892" cy="2009829"/>
                    </a:xfrm>
                    <a:prstGeom prst="rect">
                      <a:avLst/>
                    </a:prstGeom>
                    <a:noFill/>
                  </pic:spPr>
                </pic:pic>
              </a:graphicData>
            </a:graphic>
          </wp:inline>
        </w:drawing>
      </w:r>
    </w:p>
    <w:p>
      <w:pPr>
        <w:pStyle w:val="51"/>
        <w:jc w:val="center"/>
        <w:rPr>
          <w:sz w:val="24"/>
          <w:szCs w:val="24"/>
        </w:rPr>
      </w:pPr>
      <w:r>
        <w:rPr>
          <w:rFonts w:hint="eastAsia"/>
          <w:sz w:val="24"/>
          <w:szCs w:val="24"/>
        </w:rPr>
        <w:t>超融合</w:t>
      </w:r>
      <w:r>
        <w:rPr>
          <w:sz w:val="24"/>
          <w:szCs w:val="24"/>
        </w:rPr>
        <w:t>架构</w:t>
      </w:r>
      <w:r>
        <w:rPr>
          <w:rFonts w:hint="eastAsia"/>
          <w:sz w:val="24"/>
          <w:szCs w:val="24"/>
        </w:rPr>
        <w:t>四大极致</w:t>
      </w:r>
    </w:p>
    <w:p>
      <w:pPr>
        <w:pStyle w:val="129"/>
        <w:numPr>
          <w:ilvl w:val="0"/>
          <w:numId w:val="8"/>
        </w:numPr>
        <w:ind w:firstLineChars="0"/>
        <w:rPr>
          <w:sz w:val="24"/>
          <w:szCs w:val="24"/>
        </w:rPr>
      </w:pPr>
      <w:r>
        <w:rPr>
          <w:rFonts w:hint="eastAsia"/>
          <w:b/>
          <w:sz w:val="24"/>
          <w:szCs w:val="24"/>
        </w:rPr>
        <w:t>极致融合</w:t>
      </w:r>
      <w:r>
        <w:rPr>
          <w:rFonts w:hint="eastAsia"/>
          <w:sz w:val="24"/>
          <w:szCs w:val="24"/>
        </w:rPr>
        <w:t>，不仅可以实现计算、存储、网络、安全、运维、管理六大软硬件能力的融合，还可以实现虚拟化、容器、大数据、AI等云数智能力的融合</w:t>
      </w:r>
    </w:p>
    <w:p>
      <w:pPr>
        <w:pStyle w:val="129"/>
        <w:numPr>
          <w:ilvl w:val="0"/>
          <w:numId w:val="8"/>
        </w:numPr>
        <w:ind w:firstLineChars="0"/>
        <w:rPr>
          <w:sz w:val="24"/>
          <w:szCs w:val="24"/>
        </w:rPr>
      </w:pPr>
      <w:r>
        <w:rPr>
          <w:rFonts w:hint="eastAsia"/>
          <w:b/>
          <w:sz w:val="24"/>
          <w:szCs w:val="24"/>
        </w:rPr>
        <w:t>极简规模</w:t>
      </w:r>
      <w:r>
        <w:rPr>
          <w:rFonts w:hint="eastAsia"/>
          <w:sz w:val="24"/>
          <w:szCs w:val="24"/>
        </w:rPr>
        <w:t>，最少仅需两节点即可搭建起一套云就绪环境，平稳承载客户业务，同时可无缝平滑横向扩展，功能按需供给，规模弹性伸缩。</w:t>
      </w:r>
    </w:p>
    <w:p>
      <w:pPr>
        <w:pStyle w:val="129"/>
        <w:numPr>
          <w:ilvl w:val="0"/>
          <w:numId w:val="8"/>
        </w:numPr>
        <w:ind w:firstLineChars="0"/>
        <w:rPr>
          <w:sz w:val="24"/>
          <w:szCs w:val="24"/>
        </w:rPr>
      </w:pPr>
      <w:r>
        <w:rPr>
          <w:rFonts w:hint="eastAsia"/>
          <w:b/>
          <w:sz w:val="24"/>
          <w:szCs w:val="24"/>
        </w:rPr>
        <w:t>极宽场景</w:t>
      </w:r>
      <w:r>
        <w:rPr>
          <w:rFonts w:hint="eastAsia"/>
          <w:sz w:val="24"/>
          <w:szCs w:val="24"/>
        </w:rPr>
        <w:t>，打破场景壁垒，支持虚拟化、私有云、云桌面、ROBO分支机构、数据库、灾备等应用场景，实现场景/行业全覆盖。</w:t>
      </w:r>
    </w:p>
    <w:p>
      <w:pPr>
        <w:pStyle w:val="129"/>
        <w:numPr>
          <w:ilvl w:val="0"/>
          <w:numId w:val="8"/>
        </w:numPr>
        <w:ind w:firstLineChars="0"/>
        <w:rPr>
          <w:sz w:val="24"/>
          <w:szCs w:val="24"/>
        </w:rPr>
      </w:pPr>
      <w:r>
        <w:rPr>
          <w:rFonts w:hint="eastAsia"/>
          <w:b/>
          <w:sz w:val="24"/>
          <w:szCs w:val="24"/>
        </w:rPr>
        <w:t>极优交付</w:t>
      </w:r>
      <w:r>
        <w:rPr>
          <w:rFonts w:hint="eastAsia"/>
          <w:sz w:val="24"/>
          <w:szCs w:val="24"/>
        </w:rPr>
        <w:t>，软硬件深度调优、并在实验室预优化、供应链预安装预验证，只为给客户开机即云的极优交付体验！</w:t>
      </w:r>
    </w:p>
    <w:p>
      <w:pPr>
        <w:pStyle w:val="5"/>
        <w:spacing w:line="360" w:lineRule="auto"/>
        <w:rPr>
          <w:sz w:val="24"/>
          <w:szCs w:val="24"/>
        </w:rPr>
      </w:pPr>
      <w:bookmarkStart w:id="6" w:name="_Toc54343064"/>
      <w:r>
        <w:rPr>
          <w:rFonts w:hint="eastAsia"/>
          <w:sz w:val="24"/>
          <w:szCs w:val="24"/>
        </w:rPr>
        <w:t>数据中心网络部署架构</w:t>
      </w:r>
      <w:bookmarkEnd w:id="6"/>
    </w:p>
    <w:p>
      <w:pPr>
        <w:pStyle w:val="6"/>
        <w:spacing w:line="360" w:lineRule="auto"/>
        <w:rPr>
          <w:szCs w:val="24"/>
        </w:rPr>
      </w:pPr>
      <w:bookmarkStart w:id="7" w:name="_Toc54343065"/>
      <w:r>
        <w:rPr>
          <w:rFonts w:hint="eastAsia"/>
          <w:szCs w:val="24"/>
        </w:rPr>
        <w:t>超融合</w:t>
      </w:r>
      <w:r>
        <w:rPr>
          <w:szCs w:val="24"/>
        </w:rPr>
        <w:t>集群网络</w:t>
      </w:r>
      <w:bookmarkEnd w:id="7"/>
    </w:p>
    <w:p>
      <w:pPr>
        <w:spacing w:line="360" w:lineRule="auto"/>
        <w:ind w:left="0" w:firstLine="480" w:firstLineChars="200"/>
        <w:rPr>
          <w:sz w:val="24"/>
          <w:szCs w:val="24"/>
        </w:rPr>
      </w:pPr>
      <w:r>
        <w:rPr>
          <w:rFonts w:hint="eastAsia"/>
          <w:sz w:val="24"/>
          <w:szCs w:val="24"/>
        </w:rPr>
        <w:t>超融合集群在逻辑上分为四个网络平面：管理网络、业务网络、存储外网和存储内网。</w:t>
      </w:r>
    </w:p>
    <w:p>
      <w:pPr>
        <w:pStyle w:val="46"/>
        <w:spacing w:line="360" w:lineRule="auto"/>
        <w:jc w:val="center"/>
        <w:rPr>
          <w:sz w:val="24"/>
          <w:szCs w:val="24"/>
        </w:rPr>
      </w:pPr>
      <w:r>
        <w:rPr>
          <w:rFonts w:hint="eastAsia"/>
          <w:sz w:val="24"/>
          <w:szCs w:val="24"/>
        </w:rPr>
        <w:t>超融合</w:t>
      </w:r>
      <w:r>
        <w:rPr>
          <w:sz w:val="24"/>
          <w:szCs w:val="24"/>
        </w:rPr>
        <w:t>集群网络</w:t>
      </w:r>
      <w:r>
        <w:rPr>
          <w:rFonts w:hint="eastAsia"/>
          <w:sz w:val="24"/>
          <w:szCs w:val="24"/>
        </w:rPr>
        <w:t>平面</w:t>
      </w:r>
      <w:r>
        <w:rPr>
          <w:sz w:val="24"/>
          <w:szCs w:val="24"/>
        </w:rPr>
        <w:t>说明</w:t>
      </w:r>
    </w:p>
    <w:tbl>
      <w:tblPr>
        <w:tblStyle w:val="64"/>
        <w:tblW w:w="5000" w:type="pct"/>
        <w:tblInd w:w="0" w:type="dxa"/>
        <w:tblBorders>
          <w:top w:val="single" w:color="auto" w:sz="4" w:space="0"/>
          <w:left w:val="none" w:color="auto" w:sz="0" w:space="0"/>
          <w:bottom w:val="single" w:color="auto" w:sz="4" w:space="0"/>
          <w:right w:val="none" w:color="auto" w:sz="0" w:space="0"/>
          <w:insideH w:val="single" w:color="808080" w:sz="4" w:space="0"/>
          <w:insideV w:val="single" w:color="808080" w:sz="4" w:space="0"/>
        </w:tblBorders>
        <w:tblLayout w:type="autofit"/>
        <w:tblCellMar>
          <w:top w:w="0" w:type="dxa"/>
          <w:left w:w="108" w:type="dxa"/>
          <w:bottom w:w="0" w:type="dxa"/>
          <w:right w:w="108" w:type="dxa"/>
        </w:tblCellMar>
      </w:tblPr>
      <w:tblGrid>
        <w:gridCol w:w="1658"/>
        <w:gridCol w:w="5834"/>
        <w:gridCol w:w="2363"/>
      </w:tblGrid>
      <w:tr>
        <w:tblPrEx>
          <w:tblBorders>
            <w:top w:val="single" w:color="auto" w:sz="4" w:space="0"/>
            <w:left w:val="none" w:color="auto" w:sz="0" w:space="0"/>
            <w:bottom w:val="single" w:color="auto" w:sz="4" w:space="0"/>
            <w:right w:val="none" w:color="auto" w:sz="0" w:space="0"/>
            <w:insideH w:val="single" w:color="808080" w:sz="4" w:space="0"/>
            <w:insideV w:val="single" w:color="808080" w:sz="4" w:space="0"/>
          </w:tblBorders>
          <w:tblCellMar>
            <w:top w:w="0" w:type="dxa"/>
            <w:left w:w="108" w:type="dxa"/>
            <w:bottom w:w="0" w:type="dxa"/>
            <w:right w:w="108" w:type="dxa"/>
          </w:tblCellMar>
        </w:tblPrEx>
        <w:trPr>
          <w:tblHeader/>
        </w:trPr>
        <w:tc>
          <w:tcPr>
            <w:tcW w:w="841" w:type="pct"/>
            <w:tcBorders>
              <w:top w:val="single" w:color="auto" w:sz="4" w:space="0"/>
              <w:left w:val="nil"/>
              <w:bottom w:val="single" w:color="808080" w:sz="4" w:space="0"/>
              <w:right w:val="single" w:color="auto" w:sz="4" w:space="0"/>
              <w:insideH w:val="single" w:sz="4" w:space="0"/>
              <w:insideV w:val="single" w:sz="4" w:space="0"/>
              <w:tl2br w:val="nil"/>
              <w:tr2bl w:val="nil"/>
            </w:tcBorders>
            <w:shd w:val="clear" w:color="auto" w:fill="D9D9D9"/>
            <w:vAlign w:val="center"/>
          </w:tcPr>
          <w:p>
            <w:pPr>
              <w:pStyle w:val="47"/>
              <w:spacing w:line="360" w:lineRule="auto"/>
              <w:rPr>
                <w:sz w:val="24"/>
                <w:szCs w:val="24"/>
              </w:rPr>
            </w:pPr>
            <w:r>
              <w:rPr>
                <w:sz w:val="24"/>
                <w:szCs w:val="24"/>
              </w:rPr>
              <w:t>逻辑网络平面</w:t>
            </w:r>
          </w:p>
        </w:tc>
        <w:tc>
          <w:tcPr>
            <w:tcW w:w="2960" w:type="pct"/>
            <w:tcBorders>
              <w:top w:val="single" w:color="auto" w:sz="4" w:space="0"/>
              <w:bottom w:val="single" w:color="808080" w:sz="4" w:space="0"/>
              <w:right w:val="single" w:color="auto" w:sz="4" w:space="0"/>
              <w:insideH w:val="single" w:sz="4" w:space="0"/>
              <w:insideV w:val="single" w:sz="4" w:space="0"/>
              <w:tl2br w:val="nil"/>
              <w:tr2bl w:val="nil"/>
            </w:tcBorders>
            <w:shd w:val="clear" w:color="auto" w:fill="D9D9D9"/>
            <w:vAlign w:val="center"/>
          </w:tcPr>
          <w:p>
            <w:pPr>
              <w:pStyle w:val="47"/>
              <w:spacing w:line="360" w:lineRule="auto"/>
              <w:rPr>
                <w:sz w:val="24"/>
                <w:szCs w:val="24"/>
              </w:rPr>
            </w:pPr>
            <w:r>
              <w:rPr>
                <w:sz w:val="24"/>
                <w:szCs w:val="24"/>
              </w:rPr>
              <w:t>描述</w:t>
            </w:r>
          </w:p>
        </w:tc>
        <w:tc>
          <w:tcPr>
            <w:tcW w:w="1199" w:type="pct"/>
            <w:tcBorders>
              <w:top w:val="single" w:color="auto" w:sz="4" w:space="0"/>
              <w:bottom w:val="single" w:color="808080" w:sz="4" w:space="0"/>
              <w:right w:val="nil"/>
              <w:insideH w:val="single" w:sz="4" w:space="0"/>
              <w:insideV w:val="single" w:sz="4" w:space="0"/>
              <w:tl2br w:val="nil"/>
              <w:tr2bl w:val="nil"/>
            </w:tcBorders>
            <w:shd w:val="clear" w:color="auto" w:fill="D9D9D9"/>
            <w:vAlign w:val="center"/>
          </w:tcPr>
          <w:p>
            <w:pPr>
              <w:pStyle w:val="47"/>
              <w:spacing w:line="360" w:lineRule="auto"/>
              <w:rPr>
                <w:sz w:val="24"/>
                <w:szCs w:val="24"/>
              </w:rPr>
            </w:pPr>
            <w:r>
              <w:rPr>
                <w:rFonts w:hint="eastAsia"/>
                <w:sz w:val="24"/>
                <w:szCs w:val="24"/>
              </w:rPr>
              <w:t>要求</w:t>
            </w:r>
          </w:p>
        </w:tc>
      </w:tr>
      <w:tr>
        <w:tblPrEx>
          <w:tblBorders>
            <w:top w:val="single" w:color="auto" w:sz="4" w:space="0"/>
            <w:left w:val="none" w:color="auto" w:sz="0" w:space="0"/>
            <w:bottom w:val="single" w:color="auto" w:sz="4" w:space="0"/>
            <w:right w:val="none" w:color="auto" w:sz="0" w:space="0"/>
            <w:insideH w:val="single" w:color="808080" w:sz="4" w:space="0"/>
            <w:insideV w:val="single" w:color="808080" w:sz="4" w:space="0"/>
          </w:tblBorders>
          <w:tblCellMar>
            <w:top w:w="0" w:type="dxa"/>
            <w:left w:w="108" w:type="dxa"/>
            <w:bottom w:w="0" w:type="dxa"/>
            <w:right w:w="108" w:type="dxa"/>
          </w:tblCellMar>
        </w:tblPrEx>
        <w:tc>
          <w:tcPr>
            <w:tcW w:w="841" w:type="pct"/>
            <w:vAlign w:val="center"/>
          </w:tcPr>
          <w:p>
            <w:pPr>
              <w:pStyle w:val="49"/>
              <w:spacing w:line="360" w:lineRule="auto"/>
              <w:jc w:val="both"/>
              <w:rPr>
                <w:sz w:val="24"/>
                <w:szCs w:val="24"/>
              </w:rPr>
            </w:pPr>
            <w:r>
              <w:rPr>
                <w:rFonts w:hint="eastAsia"/>
                <w:sz w:val="24"/>
                <w:szCs w:val="24"/>
              </w:rPr>
              <w:t>管理网</w:t>
            </w:r>
          </w:p>
        </w:tc>
        <w:tc>
          <w:tcPr>
            <w:tcW w:w="2960" w:type="pct"/>
            <w:vAlign w:val="center"/>
          </w:tcPr>
          <w:p>
            <w:pPr>
              <w:pStyle w:val="49"/>
              <w:spacing w:line="360" w:lineRule="auto"/>
              <w:jc w:val="both"/>
              <w:rPr>
                <w:sz w:val="24"/>
                <w:szCs w:val="24"/>
              </w:rPr>
            </w:pPr>
            <w:r>
              <w:rPr>
                <w:sz w:val="24"/>
                <w:szCs w:val="24"/>
              </w:rPr>
              <w:t>用户可以通过管理网络访问</w:t>
            </w:r>
            <w:r>
              <w:rPr>
                <w:rFonts w:hint="eastAsia"/>
                <w:sz w:val="24"/>
                <w:szCs w:val="24"/>
              </w:rPr>
              <w:t>超融合</w:t>
            </w:r>
            <w:r>
              <w:rPr>
                <w:sz w:val="24"/>
                <w:szCs w:val="24"/>
              </w:rPr>
              <w:t>集群，对</w:t>
            </w:r>
            <w:r>
              <w:rPr>
                <w:rFonts w:hint="eastAsia"/>
                <w:sz w:val="24"/>
                <w:szCs w:val="24"/>
              </w:rPr>
              <w:t>超融合主机节点</w:t>
            </w:r>
            <w:r>
              <w:rPr>
                <w:sz w:val="24"/>
                <w:szCs w:val="24"/>
              </w:rPr>
              <w:t>进行管理和维护。</w:t>
            </w:r>
          </w:p>
        </w:tc>
        <w:tc>
          <w:tcPr>
            <w:tcW w:w="1199" w:type="pct"/>
            <w:vAlign w:val="center"/>
          </w:tcPr>
          <w:p>
            <w:pPr>
              <w:pStyle w:val="49"/>
              <w:spacing w:line="360" w:lineRule="auto"/>
              <w:jc w:val="both"/>
              <w:rPr>
                <w:sz w:val="24"/>
                <w:szCs w:val="24"/>
              </w:rPr>
            </w:pPr>
            <w:r>
              <w:rPr>
                <w:rFonts w:hint="eastAsia"/>
                <w:sz w:val="24"/>
                <w:szCs w:val="24"/>
              </w:rPr>
              <w:t>千兆或万兆网络</w:t>
            </w:r>
          </w:p>
        </w:tc>
      </w:tr>
      <w:tr>
        <w:tblPrEx>
          <w:tblBorders>
            <w:top w:val="single" w:color="auto" w:sz="4" w:space="0"/>
            <w:left w:val="none" w:color="auto" w:sz="0" w:space="0"/>
            <w:bottom w:val="single" w:color="auto" w:sz="4" w:space="0"/>
            <w:right w:val="none" w:color="auto" w:sz="0" w:space="0"/>
            <w:insideH w:val="single" w:color="808080" w:sz="4" w:space="0"/>
            <w:insideV w:val="single" w:color="808080" w:sz="4" w:space="0"/>
          </w:tblBorders>
          <w:tblCellMar>
            <w:top w:w="0" w:type="dxa"/>
            <w:left w:w="108" w:type="dxa"/>
            <w:bottom w:w="0" w:type="dxa"/>
            <w:right w:w="108" w:type="dxa"/>
          </w:tblCellMar>
        </w:tblPrEx>
        <w:tc>
          <w:tcPr>
            <w:tcW w:w="841" w:type="pct"/>
            <w:vAlign w:val="center"/>
          </w:tcPr>
          <w:p>
            <w:pPr>
              <w:pStyle w:val="49"/>
              <w:spacing w:line="360" w:lineRule="auto"/>
              <w:jc w:val="both"/>
              <w:rPr>
                <w:sz w:val="24"/>
                <w:szCs w:val="24"/>
              </w:rPr>
            </w:pPr>
            <w:r>
              <w:rPr>
                <w:rFonts w:hint="eastAsia"/>
                <w:sz w:val="24"/>
                <w:szCs w:val="24"/>
              </w:rPr>
              <w:t>业务网</w:t>
            </w:r>
          </w:p>
        </w:tc>
        <w:tc>
          <w:tcPr>
            <w:tcW w:w="2960" w:type="pct"/>
            <w:vAlign w:val="center"/>
          </w:tcPr>
          <w:p>
            <w:pPr>
              <w:pStyle w:val="49"/>
              <w:spacing w:line="360" w:lineRule="auto"/>
              <w:jc w:val="both"/>
              <w:rPr>
                <w:sz w:val="24"/>
                <w:szCs w:val="24"/>
              </w:rPr>
            </w:pPr>
            <w:r>
              <w:rPr>
                <w:rFonts w:hint="eastAsia"/>
                <w:sz w:val="24"/>
                <w:szCs w:val="24"/>
              </w:rPr>
              <w:t>超融合集群对外提供业务的网络。</w:t>
            </w:r>
          </w:p>
        </w:tc>
        <w:tc>
          <w:tcPr>
            <w:tcW w:w="1199" w:type="pct"/>
            <w:vAlign w:val="center"/>
          </w:tcPr>
          <w:p>
            <w:pPr>
              <w:pStyle w:val="49"/>
              <w:spacing w:line="360" w:lineRule="auto"/>
              <w:jc w:val="both"/>
              <w:rPr>
                <w:sz w:val="24"/>
                <w:szCs w:val="24"/>
              </w:rPr>
            </w:pPr>
            <w:r>
              <w:rPr>
                <w:rFonts w:hint="eastAsia"/>
                <w:sz w:val="24"/>
                <w:szCs w:val="24"/>
              </w:rPr>
              <w:t>千兆或万兆网络</w:t>
            </w:r>
          </w:p>
        </w:tc>
      </w:tr>
      <w:tr>
        <w:tblPrEx>
          <w:tblBorders>
            <w:top w:val="single" w:color="auto" w:sz="4" w:space="0"/>
            <w:left w:val="none" w:color="auto" w:sz="0" w:space="0"/>
            <w:bottom w:val="single" w:color="auto" w:sz="4" w:space="0"/>
            <w:right w:val="none" w:color="auto" w:sz="0" w:space="0"/>
            <w:insideH w:val="single" w:color="808080" w:sz="4" w:space="0"/>
            <w:insideV w:val="single" w:color="808080" w:sz="4" w:space="0"/>
          </w:tblBorders>
          <w:tblCellMar>
            <w:top w:w="0" w:type="dxa"/>
            <w:left w:w="108" w:type="dxa"/>
            <w:bottom w:w="0" w:type="dxa"/>
            <w:right w:w="108" w:type="dxa"/>
          </w:tblCellMar>
        </w:tblPrEx>
        <w:tc>
          <w:tcPr>
            <w:tcW w:w="841" w:type="pct"/>
            <w:vAlign w:val="center"/>
          </w:tcPr>
          <w:p>
            <w:pPr>
              <w:pStyle w:val="49"/>
              <w:spacing w:line="360" w:lineRule="auto"/>
              <w:jc w:val="both"/>
              <w:rPr>
                <w:sz w:val="24"/>
                <w:szCs w:val="24"/>
              </w:rPr>
            </w:pPr>
            <w:r>
              <w:rPr>
                <w:rFonts w:hint="eastAsia"/>
                <w:sz w:val="24"/>
                <w:szCs w:val="24"/>
              </w:rPr>
              <w:t>存储外网</w:t>
            </w:r>
          </w:p>
        </w:tc>
        <w:tc>
          <w:tcPr>
            <w:tcW w:w="2960" w:type="pct"/>
            <w:vAlign w:val="center"/>
          </w:tcPr>
          <w:p>
            <w:pPr>
              <w:pStyle w:val="49"/>
              <w:spacing w:line="360" w:lineRule="auto"/>
              <w:jc w:val="both"/>
              <w:rPr>
                <w:sz w:val="24"/>
                <w:szCs w:val="24"/>
              </w:rPr>
            </w:pPr>
            <w:r>
              <w:rPr>
                <w:rFonts w:hint="eastAsia"/>
                <w:sz w:val="24"/>
                <w:szCs w:val="24"/>
              </w:rPr>
              <w:t>虚拟机及其应用</w:t>
            </w:r>
            <w:r>
              <w:rPr>
                <w:sz w:val="24"/>
                <w:szCs w:val="24"/>
              </w:rPr>
              <w:t>的IO业务通过存储</w:t>
            </w:r>
            <w:r>
              <w:rPr>
                <w:rFonts w:hint="eastAsia"/>
                <w:sz w:val="24"/>
                <w:szCs w:val="24"/>
              </w:rPr>
              <w:t>外网</w:t>
            </w:r>
            <w:r>
              <w:rPr>
                <w:sz w:val="24"/>
                <w:szCs w:val="24"/>
              </w:rPr>
              <w:t>与</w:t>
            </w:r>
            <w:r>
              <w:rPr>
                <w:rFonts w:hint="eastAsia"/>
                <w:sz w:val="24"/>
                <w:szCs w:val="24"/>
              </w:rPr>
              <w:t>超融合分布式存储</w:t>
            </w:r>
            <w:r>
              <w:rPr>
                <w:sz w:val="24"/>
                <w:szCs w:val="24"/>
              </w:rPr>
              <w:t>集群进行通信。</w:t>
            </w:r>
          </w:p>
        </w:tc>
        <w:tc>
          <w:tcPr>
            <w:tcW w:w="1199" w:type="pct"/>
            <w:vAlign w:val="center"/>
          </w:tcPr>
          <w:p>
            <w:pPr>
              <w:pStyle w:val="49"/>
              <w:spacing w:line="360" w:lineRule="auto"/>
              <w:jc w:val="both"/>
              <w:rPr>
                <w:sz w:val="24"/>
                <w:szCs w:val="24"/>
              </w:rPr>
            </w:pPr>
            <w:r>
              <w:rPr>
                <w:rFonts w:hint="eastAsia"/>
                <w:sz w:val="24"/>
                <w:szCs w:val="24"/>
              </w:rPr>
              <w:t>万兆网络</w:t>
            </w:r>
          </w:p>
        </w:tc>
      </w:tr>
      <w:tr>
        <w:tblPrEx>
          <w:tblBorders>
            <w:top w:val="single" w:color="auto" w:sz="4" w:space="0"/>
            <w:left w:val="none" w:color="auto" w:sz="0" w:space="0"/>
            <w:bottom w:val="single" w:color="auto" w:sz="4" w:space="0"/>
            <w:right w:val="none" w:color="auto" w:sz="0" w:space="0"/>
            <w:insideH w:val="single" w:color="808080" w:sz="4" w:space="0"/>
            <w:insideV w:val="single" w:color="808080" w:sz="4" w:space="0"/>
          </w:tblBorders>
          <w:tblCellMar>
            <w:top w:w="0" w:type="dxa"/>
            <w:left w:w="108" w:type="dxa"/>
            <w:bottom w:w="0" w:type="dxa"/>
            <w:right w:w="108" w:type="dxa"/>
          </w:tblCellMar>
        </w:tblPrEx>
        <w:tc>
          <w:tcPr>
            <w:tcW w:w="841" w:type="pct"/>
            <w:vAlign w:val="center"/>
          </w:tcPr>
          <w:p>
            <w:pPr>
              <w:pStyle w:val="49"/>
              <w:spacing w:line="360" w:lineRule="auto"/>
              <w:jc w:val="both"/>
              <w:rPr>
                <w:sz w:val="24"/>
                <w:szCs w:val="24"/>
              </w:rPr>
            </w:pPr>
            <w:r>
              <w:rPr>
                <w:rFonts w:hint="eastAsia"/>
                <w:sz w:val="24"/>
                <w:szCs w:val="24"/>
              </w:rPr>
              <w:t>存储内网</w:t>
            </w:r>
          </w:p>
        </w:tc>
        <w:tc>
          <w:tcPr>
            <w:tcW w:w="2960" w:type="pct"/>
            <w:vAlign w:val="center"/>
          </w:tcPr>
          <w:p>
            <w:pPr>
              <w:pStyle w:val="49"/>
              <w:spacing w:line="360" w:lineRule="auto"/>
              <w:jc w:val="both"/>
              <w:rPr>
                <w:sz w:val="24"/>
                <w:szCs w:val="24"/>
              </w:rPr>
            </w:pPr>
            <w:r>
              <w:rPr>
                <w:rFonts w:hint="eastAsia"/>
                <w:sz w:val="24"/>
                <w:szCs w:val="24"/>
              </w:rPr>
              <w:t>超融合分布式存储</w:t>
            </w:r>
            <w:r>
              <w:rPr>
                <w:sz w:val="24"/>
                <w:szCs w:val="24"/>
              </w:rPr>
              <w:t>集群内部的节点通过存储</w:t>
            </w:r>
            <w:r>
              <w:rPr>
                <w:rFonts w:hint="eastAsia"/>
                <w:sz w:val="24"/>
                <w:szCs w:val="24"/>
              </w:rPr>
              <w:t>内网</w:t>
            </w:r>
            <w:r>
              <w:rPr>
                <w:sz w:val="24"/>
                <w:szCs w:val="24"/>
              </w:rPr>
              <w:t>相互通信</w:t>
            </w:r>
            <w:r>
              <w:rPr>
                <w:rFonts w:hint="eastAsia"/>
                <w:sz w:val="24"/>
                <w:szCs w:val="24"/>
              </w:rPr>
              <w:t>，用于数据平衡、恢复等，</w:t>
            </w:r>
            <w:r>
              <w:rPr>
                <w:sz w:val="24"/>
                <w:szCs w:val="24"/>
              </w:rPr>
              <w:t>并不对外提供服务。</w:t>
            </w:r>
          </w:p>
        </w:tc>
        <w:tc>
          <w:tcPr>
            <w:tcW w:w="1199" w:type="pct"/>
            <w:vAlign w:val="center"/>
          </w:tcPr>
          <w:p>
            <w:pPr>
              <w:pStyle w:val="49"/>
              <w:spacing w:line="360" w:lineRule="auto"/>
              <w:jc w:val="both"/>
              <w:rPr>
                <w:sz w:val="24"/>
                <w:szCs w:val="24"/>
              </w:rPr>
            </w:pPr>
            <w:r>
              <w:rPr>
                <w:rFonts w:hint="eastAsia"/>
                <w:sz w:val="24"/>
                <w:szCs w:val="24"/>
              </w:rPr>
              <w:t>万兆网络</w:t>
            </w:r>
          </w:p>
        </w:tc>
      </w:tr>
    </w:tbl>
    <w:p>
      <w:pPr>
        <w:pStyle w:val="70"/>
        <w:spacing w:after="80" w:line="360" w:lineRule="auto"/>
        <w:jc w:val="both"/>
        <w:rPr>
          <w:sz w:val="24"/>
          <w:szCs w:val="24"/>
          <w:lang w:eastAsia="zh-CN"/>
        </w:rPr>
      </w:pPr>
      <w:r>
        <w:rPr>
          <w:rFonts w:hint="eastAsia"/>
          <w:sz w:val="24"/>
          <w:szCs w:val="24"/>
          <w:lang w:eastAsia="zh-CN"/>
        </w:rPr>
        <w:t>管理网络、存储外网、存储内网建议分离，承载在不同的物理网口上。</w:t>
      </w:r>
    </w:p>
    <w:p>
      <w:pPr>
        <w:pStyle w:val="70"/>
        <w:spacing w:after="80" w:line="360" w:lineRule="auto"/>
        <w:jc w:val="both"/>
        <w:rPr>
          <w:sz w:val="24"/>
          <w:szCs w:val="24"/>
          <w:lang w:eastAsia="zh-CN"/>
        </w:rPr>
      </w:pPr>
      <w:r>
        <w:rPr>
          <w:rFonts w:hint="eastAsia"/>
          <w:sz w:val="24"/>
          <w:szCs w:val="24"/>
          <w:lang w:eastAsia="zh-CN"/>
        </w:rPr>
        <w:t>管理网络和业务网络根据需求选择千兆或者万兆网络进行通信。</w:t>
      </w:r>
    </w:p>
    <w:p>
      <w:pPr>
        <w:pStyle w:val="70"/>
        <w:spacing w:after="80" w:line="360" w:lineRule="auto"/>
        <w:jc w:val="both"/>
        <w:rPr>
          <w:sz w:val="24"/>
          <w:szCs w:val="24"/>
          <w:lang w:eastAsia="zh-CN"/>
        </w:rPr>
      </w:pPr>
      <w:r>
        <w:rPr>
          <w:rFonts w:hint="eastAsia"/>
          <w:sz w:val="24"/>
          <w:szCs w:val="24"/>
          <w:lang w:eastAsia="zh-CN"/>
        </w:rPr>
        <w:t>存储外网和存储内网属于重要的网络平面，必须使用万兆网卡，且必须做网口聚合。</w:t>
      </w:r>
    </w:p>
    <w:p>
      <w:pPr>
        <w:pStyle w:val="6"/>
        <w:spacing w:line="360" w:lineRule="auto"/>
        <w:rPr>
          <w:szCs w:val="24"/>
        </w:rPr>
      </w:pPr>
      <w:bookmarkStart w:id="8" w:name="_Toc54343066"/>
      <w:r>
        <w:rPr>
          <w:rFonts w:hint="eastAsia"/>
          <w:szCs w:val="24"/>
        </w:rPr>
        <w:t>网络复用配置说明</w:t>
      </w:r>
      <w:bookmarkEnd w:id="8"/>
    </w:p>
    <w:p>
      <w:pPr>
        <w:pStyle w:val="70"/>
        <w:numPr>
          <w:ilvl w:val="0"/>
          <w:numId w:val="0"/>
        </w:numPr>
        <w:spacing w:line="360" w:lineRule="auto"/>
        <w:ind w:firstLine="480" w:firstLineChars="200"/>
        <w:rPr>
          <w:sz w:val="24"/>
          <w:szCs w:val="24"/>
          <w:lang w:eastAsia="zh-CN"/>
        </w:rPr>
      </w:pPr>
      <w:r>
        <w:rPr>
          <w:rFonts w:hint="eastAsia"/>
          <w:sz w:val="24"/>
          <w:szCs w:val="24"/>
          <w:lang w:eastAsia="zh-CN"/>
        </w:rPr>
        <w:t>超融合管理平台支持同一个物理端口或聚合端口的网络复用，适用于物理主机网络端口数量不足的场景，同时，网络复用也可以避免网络带宽浪费，在同样的物理环境下，提高链路的冗余性。例如一台服务器配置了两张2端口的万兆网卡，配置eth0和eth1链路聚合用于管理网络和业务网络，管理网络带宽占用需求较小，此时可以提供给业务网较高的带宽占比，两端口链路聚合，同时提高了两个网络的冗余性。同样的，eth2和eth3链路聚合用于存储外网和存储内网的聚合。网络复用使超融合网络配置更加灵活，且大大提高了用户的投资价值</w:t>
      </w:r>
      <w:r>
        <w:rPr>
          <w:sz w:val="24"/>
          <w:szCs w:val="24"/>
          <w:lang w:eastAsia="zh-CN"/>
        </w:rPr>
        <w:t>。</w:t>
      </w:r>
    </w:p>
    <w:p>
      <w:pPr>
        <w:pStyle w:val="6"/>
        <w:spacing w:line="360" w:lineRule="auto"/>
        <w:rPr>
          <w:szCs w:val="24"/>
        </w:rPr>
      </w:pPr>
      <w:bookmarkStart w:id="9" w:name="_Toc54343067"/>
      <w:r>
        <w:rPr>
          <w:rFonts w:hint="eastAsia"/>
          <w:szCs w:val="24"/>
        </w:rPr>
        <w:t>超融合</w:t>
      </w:r>
      <w:r>
        <w:rPr>
          <w:szCs w:val="24"/>
        </w:rPr>
        <w:t>典型组网</w:t>
      </w:r>
      <w:bookmarkEnd w:id="9"/>
    </w:p>
    <w:p>
      <w:pPr>
        <w:pStyle w:val="70"/>
        <w:spacing w:after="80" w:line="360" w:lineRule="auto"/>
        <w:jc w:val="both"/>
        <w:rPr>
          <w:sz w:val="24"/>
          <w:szCs w:val="24"/>
        </w:rPr>
      </w:pPr>
      <w:r>
        <w:rPr>
          <w:rFonts w:hint="eastAsia"/>
          <w:sz w:val="24"/>
          <w:szCs w:val="24"/>
          <w:lang w:eastAsia="zh-CN"/>
        </w:rPr>
        <w:t>超融合部署场景下，单台主机推荐配置一张4端口千兆网卡和两张2端口的万兆网卡，即8个网络端口，分别用于管理网（2个千兆端口）、存储外网（2个万兆端口）、存储内网（2个万兆端口）和业务网络（2个千兆端口）。</w:t>
      </w:r>
      <w:r>
        <w:rPr>
          <w:rFonts w:hint="eastAsia"/>
          <w:sz w:val="24"/>
          <w:szCs w:val="24"/>
        </w:rPr>
        <w:t>并且每个网络的2个端口分别做端口聚合。</w:t>
      </w:r>
    </w:p>
    <w:p>
      <w:pPr>
        <w:pStyle w:val="70"/>
        <w:spacing w:after="80" w:line="360" w:lineRule="auto"/>
        <w:jc w:val="both"/>
        <w:rPr>
          <w:sz w:val="24"/>
          <w:szCs w:val="24"/>
          <w:lang w:eastAsia="zh-CN"/>
        </w:rPr>
      </w:pPr>
      <w:r>
        <w:rPr>
          <w:rFonts w:hint="eastAsia"/>
          <w:sz w:val="24"/>
          <w:szCs w:val="24"/>
          <w:lang w:eastAsia="zh-CN"/>
        </w:rPr>
        <w:t>如果单台主机配置一张4端口千兆网卡和一张2端口的万兆网卡，此时允许将存储外网和存储内网复用2个万兆端口，管理网和业务网使用其他4个千兆端口，每个网络的2个端口分别做端口聚合。</w:t>
      </w:r>
    </w:p>
    <w:p>
      <w:pPr>
        <w:pStyle w:val="70"/>
        <w:spacing w:after="80" w:line="360" w:lineRule="auto"/>
        <w:jc w:val="both"/>
        <w:rPr>
          <w:sz w:val="24"/>
          <w:szCs w:val="24"/>
          <w:lang w:eastAsia="zh-CN"/>
        </w:rPr>
      </w:pPr>
      <w:r>
        <w:rPr>
          <w:rFonts w:hint="eastAsia"/>
          <w:sz w:val="24"/>
          <w:szCs w:val="24"/>
          <w:lang w:eastAsia="zh-CN"/>
        </w:rPr>
        <w:t>如果单台主机仅配置两张2端口的万兆网卡，此时允许将存储外网和存储内网复用2个万兆端口，管理网和业务网复用2个万兆端口，并分别做端口聚合。</w:t>
      </w:r>
    </w:p>
    <w:p>
      <w:pPr>
        <w:pStyle w:val="51"/>
        <w:numPr>
          <w:ilvl w:val="0"/>
          <w:numId w:val="0"/>
        </w:numPr>
        <w:spacing w:line="360" w:lineRule="auto"/>
        <w:ind w:left="624"/>
        <w:rPr>
          <w:sz w:val="24"/>
          <w:szCs w:val="24"/>
        </w:rPr>
      </w:pPr>
      <w:r>
        <w:rPr>
          <w:rFonts w:hint="eastAsia"/>
          <w:sz w:val="24"/>
          <w:szCs w:val="24"/>
        </w:rPr>
        <w:drawing>
          <wp:inline distT="0" distB="0" distL="0" distR="0">
            <wp:extent cx="5619750" cy="3326765"/>
            <wp:effectExtent l="0" t="0" r="0" b="698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627195" cy="3331777"/>
                    </a:xfrm>
                    <a:prstGeom prst="rect">
                      <a:avLst/>
                    </a:prstGeom>
                    <a:noFill/>
                    <a:ln>
                      <a:noFill/>
                    </a:ln>
                  </pic:spPr>
                </pic:pic>
              </a:graphicData>
            </a:graphic>
          </wp:inline>
        </w:drawing>
      </w:r>
    </w:p>
    <w:p>
      <w:pPr>
        <w:pStyle w:val="51"/>
        <w:spacing w:line="360" w:lineRule="auto"/>
        <w:jc w:val="center"/>
        <w:rPr>
          <w:sz w:val="24"/>
          <w:szCs w:val="24"/>
        </w:rPr>
      </w:pPr>
      <w:r>
        <w:rPr>
          <w:rFonts w:hint="eastAsia"/>
          <w:sz w:val="24"/>
          <w:szCs w:val="24"/>
        </w:rPr>
        <w:t>超融合典型组网</w:t>
      </w:r>
    </w:p>
    <w:p>
      <w:pPr>
        <w:pStyle w:val="6"/>
        <w:spacing w:line="360" w:lineRule="auto"/>
        <w:rPr>
          <w:szCs w:val="24"/>
        </w:rPr>
      </w:pPr>
      <w:bookmarkStart w:id="10" w:name="_Toc54343068"/>
      <w:r>
        <w:rPr>
          <w:szCs w:val="24"/>
        </w:rPr>
        <w:t>交换机</w:t>
      </w:r>
      <w:r>
        <w:rPr>
          <w:rFonts w:hint="eastAsia"/>
          <w:szCs w:val="24"/>
        </w:rPr>
        <w:t>的</w:t>
      </w:r>
      <w:r>
        <w:rPr>
          <w:szCs w:val="24"/>
        </w:rPr>
        <w:t>连接</w:t>
      </w:r>
      <w:bookmarkEnd w:id="10"/>
    </w:p>
    <w:p>
      <w:pPr>
        <w:pStyle w:val="70"/>
        <w:spacing w:after="80" w:line="360" w:lineRule="auto"/>
        <w:jc w:val="both"/>
        <w:rPr>
          <w:sz w:val="24"/>
          <w:szCs w:val="24"/>
          <w:lang w:eastAsia="zh-CN"/>
        </w:rPr>
      </w:pPr>
      <w:r>
        <w:rPr>
          <w:rFonts w:hint="eastAsia"/>
          <w:sz w:val="24"/>
          <w:szCs w:val="24"/>
          <w:lang w:eastAsia="zh-CN"/>
        </w:rPr>
        <w:t>无网口聚合时，基于网络分离原则，将存储外网/内网网络的网口根据网络不同，分别连接到不同交换机上。</w:t>
      </w:r>
    </w:p>
    <w:p>
      <w:pPr>
        <w:pStyle w:val="70"/>
        <w:spacing w:after="80" w:line="360" w:lineRule="auto"/>
        <w:jc w:val="both"/>
        <w:rPr>
          <w:sz w:val="24"/>
          <w:szCs w:val="24"/>
          <w:lang w:eastAsia="zh-CN"/>
        </w:rPr>
      </w:pPr>
      <w:r>
        <w:rPr>
          <w:rFonts w:hint="eastAsia"/>
          <w:sz w:val="24"/>
          <w:szCs w:val="24"/>
          <w:lang w:eastAsia="zh-CN"/>
        </w:rPr>
        <w:t>推荐使用两台及两台以上的交换机通过IRF技术做堆叠，网口链路聚合，聚合的网口要连到不同的交换机上。</w:t>
      </w:r>
    </w:p>
    <w:p>
      <w:pPr>
        <w:pStyle w:val="70"/>
        <w:spacing w:after="80" w:line="360" w:lineRule="auto"/>
        <w:jc w:val="both"/>
        <w:rPr>
          <w:sz w:val="24"/>
          <w:szCs w:val="24"/>
          <w:lang w:eastAsia="zh-CN"/>
        </w:rPr>
      </w:pPr>
      <w:r>
        <w:rPr>
          <w:rFonts w:hint="eastAsia"/>
          <w:sz w:val="24"/>
          <w:szCs w:val="24"/>
          <w:lang w:eastAsia="zh-CN"/>
        </w:rPr>
        <w:t>如果交换机启动了生成树协议（交换机默认设置为启动生成树协议），则需要将所有连接服务器的交换机端口配置为边缘端口。</w:t>
      </w:r>
    </w:p>
    <w:p>
      <w:pPr>
        <w:pStyle w:val="70"/>
        <w:spacing w:after="80" w:line="360" w:lineRule="auto"/>
        <w:jc w:val="both"/>
        <w:rPr>
          <w:sz w:val="24"/>
          <w:szCs w:val="24"/>
          <w:lang w:eastAsia="zh-CN"/>
        </w:rPr>
      </w:pPr>
      <w:r>
        <w:rPr>
          <w:rFonts w:hint="eastAsia"/>
          <w:sz w:val="24"/>
          <w:szCs w:val="24"/>
          <w:lang w:eastAsia="zh-CN"/>
        </w:rPr>
        <w:t>交换机跨框转发时间时长参数IRF link-delay 要求设置为毫秒级。</w:t>
      </w:r>
    </w:p>
    <w:p>
      <w:pPr>
        <w:pStyle w:val="4"/>
        <w:spacing w:line="360" w:lineRule="auto"/>
        <w:rPr>
          <w:sz w:val="24"/>
          <w:szCs w:val="24"/>
        </w:rPr>
      </w:pPr>
      <w:bookmarkStart w:id="11" w:name="_Toc31704595"/>
      <w:r>
        <w:rPr>
          <w:rFonts w:hint="eastAsia"/>
          <w:sz w:val="24"/>
          <w:szCs w:val="24"/>
        </w:rPr>
        <w:t>传统架构面临的问题</w:t>
      </w:r>
      <w:bookmarkEnd w:id="11"/>
    </w:p>
    <w:p>
      <w:pPr>
        <w:spacing w:line="360" w:lineRule="auto"/>
        <w:rPr>
          <w:sz w:val="24"/>
          <w:szCs w:val="24"/>
        </w:rPr>
      </w:pPr>
      <w:r>
        <w:rPr>
          <w:rFonts w:hint="eastAsia"/>
          <w:sz w:val="24"/>
          <w:szCs w:val="24"/>
        </w:rPr>
        <w:t>自上世纪90年代中后期开始，以</w:t>
      </w:r>
      <w:r>
        <w:rPr>
          <w:sz w:val="24"/>
          <w:szCs w:val="24"/>
        </w:rPr>
        <w:t>大型机、小型机、大型数据库、集中式存储与</w:t>
      </w:r>
      <w:r>
        <w:rPr>
          <w:rFonts w:hint="eastAsia"/>
          <w:sz w:val="24"/>
          <w:szCs w:val="24"/>
        </w:rPr>
        <w:t>业务</w:t>
      </w:r>
      <w:r>
        <w:rPr>
          <w:sz w:val="24"/>
          <w:szCs w:val="24"/>
        </w:rPr>
        <w:t>高可用软件组成的</w:t>
      </w:r>
      <w:r>
        <w:rPr>
          <w:rFonts w:hint="eastAsia"/>
          <w:sz w:val="24"/>
          <w:szCs w:val="24"/>
        </w:rPr>
        <w:t>IT</w:t>
      </w:r>
      <w:r>
        <w:rPr>
          <w:sz w:val="24"/>
          <w:szCs w:val="24"/>
        </w:rPr>
        <w:t>架构适应了当时</w:t>
      </w:r>
      <w:r>
        <w:rPr>
          <w:rFonts w:hint="eastAsia"/>
          <w:sz w:val="24"/>
          <w:szCs w:val="24"/>
        </w:rPr>
        <w:t>的</w:t>
      </w:r>
      <w:r>
        <w:rPr>
          <w:sz w:val="24"/>
          <w:szCs w:val="24"/>
        </w:rPr>
        <w:t>数据大集中趋势，</w:t>
      </w:r>
      <w:r>
        <w:rPr>
          <w:rFonts w:hint="eastAsia"/>
          <w:sz w:val="24"/>
          <w:szCs w:val="24"/>
        </w:rPr>
        <w:t>传统</w:t>
      </w:r>
      <w:r>
        <w:rPr>
          <w:sz w:val="24"/>
          <w:szCs w:val="24"/>
        </w:rPr>
        <w:t>IT设备制造商在这一阶段得到了迅猛的发展，</w:t>
      </w:r>
      <w:r>
        <w:rPr>
          <w:rFonts w:hint="eastAsia"/>
          <w:sz w:val="24"/>
          <w:szCs w:val="24"/>
        </w:rPr>
        <w:t>集中式</w:t>
      </w:r>
      <w:r>
        <w:rPr>
          <w:sz w:val="24"/>
          <w:szCs w:val="24"/>
        </w:rPr>
        <w:t>的部署模式带来了对硬件性能、高可靠性及扩展性的需求增加</w:t>
      </w:r>
      <w:r>
        <w:rPr>
          <w:rFonts w:hint="eastAsia"/>
          <w:sz w:val="24"/>
          <w:szCs w:val="24"/>
        </w:rPr>
        <w:t>。</w:t>
      </w:r>
    </w:p>
    <w:p>
      <w:pPr>
        <w:spacing w:line="360" w:lineRule="auto"/>
        <w:rPr>
          <w:sz w:val="24"/>
          <w:szCs w:val="24"/>
        </w:rPr>
      </w:pPr>
      <w:r>
        <w:rPr>
          <w:rFonts w:hint="eastAsia"/>
          <w:sz w:val="24"/>
          <w:szCs w:val="24"/>
        </w:rPr>
        <w:t>2003年</w:t>
      </w:r>
      <w:r>
        <w:rPr>
          <w:sz w:val="24"/>
          <w:szCs w:val="24"/>
        </w:rPr>
        <w:t>左右</w:t>
      </w:r>
      <w:r>
        <w:rPr>
          <w:rFonts w:hint="eastAsia"/>
          <w:sz w:val="24"/>
          <w:szCs w:val="24"/>
        </w:rPr>
        <w:t>，</w:t>
      </w:r>
      <w:r>
        <w:rPr>
          <w:sz w:val="24"/>
          <w:szCs w:val="24"/>
        </w:rPr>
        <w:t>服务器虚拟化技术</w:t>
      </w:r>
      <w:r>
        <w:rPr>
          <w:rFonts w:hint="eastAsia"/>
          <w:sz w:val="24"/>
          <w:szCs w:val="24"/>
        </w:rPr>
        <w:t>开始普及</w:t>
      </w:r>
      <w:r>
        <w:rPr>
          <w:sz w:val="24"/>
          <w:szCs w:val="24"/>
        </w:rPr>
        <w:t>，以VMware为代表的</w:t>
      </w:r>
      <w:r>
        <w:rPr>
          <w:rFonts w:hint="eastAsia"/>
          <w:sz w:val="24"/>
          <w:szCs w:val="24"/>
        </w:rPr>
        <w:t>虚拟化</w:t>
      </w:r>
      <w:r>
        <w:rPr>
          <w:sz w:val="24"/>
          <w:szCs w:val="24"/>
        </w:rPr>
        <w:t>软件厂商引领数据中心由物理硬件数据中心</w:t>
      </w:r>
      <w:r>
        <w:rPr>
          <w:rFonts w:hint="eastAsia"/>
          <w:sz w:val="24"/>
          <w:szCs w:val="24"/>
        </w:rPr>
        <w:t>向</w:t>
      </w:r>
      <w:r>
        <w:rPr>
          <w:sz w:val="24"/>
          <w:szCs w:val="24"/>
        </w:rPr>
        <w:t>虚拟化数据中心转变</w:t>
      </w:r>
      <w:r>
        <w:rPr>
          <w:rFonts w:hint="eastAsia"/>
          <w:sz w:val="24"/>
          <w:szCs w:val="24"/>
        </w:rPr>
        <w:t>。服务器虚拟化</w:t>
      </w:r>
      <w:r>
        <w:rPr>
          <w:sz w:val="24"/>
          <w:szCs w:val="24"/>
        </w:rPr>
        <w:t>技术有效控制了</w:t>
      </w:r>
      <w:r>
        <w:rPr>
          <w:rFonts w:hint="eastAsia"/>
          <w:sz w:val="24"/>
          <w:szCs w:val="24"/>
        </w:rPr>
        <w:t>数据中心</w:t>
      </w:r>
      <w:r>
        <w:rPr>
          <w:sz w:val="24"/>
          <w:szCs w:val="24"/>
        </w:rPr>
        <w:t>内服务器数量规模的膨胀，提高了服务器的利用</w:t>
      </w:r>
      <w:r>
        <w:rPr>
          <w:rFonts w:hint="eastAsia"/>
          <w:sz w:val="24"/>
          <w:szCs w:val="24"/>
        </w:rPr>
        <w:t>效率</w:t>
      </w:r>
      <w:r>
        <w:rPr>
          <w:sz w:val="24"/>
          <w:szCs w:val="24"/>
        </w:rPr>
        <w:t>，并且，利用</w:t>
      </w:r>
      <w:r>
        <w:rPr>
          <w:rFonts w:hint="eastAsia"/>
          <w:sz w:val="24"/>
          <w:szCs w:val="24"/>
        </w:rPr>
        <w:t>虚拟机</w:t>
      </w:r>
      <w:r>
        <w:rPr>
          <w:sz w:val="24"/>
          <w:szCs w:val="24"/>
        </w:rPr>
        <w:t>迁移等技术大大降低</w:t>
      </w:r>
      <w:r>
        <w:rPr>
          <w:rFonts w:hint="eastAsia"/>
          <w:sz w:val="24"/>
          <w:szCs w:val="24"/>
        </w:rPr>
        <w:t>了</w:t>
      </w:r>
      <w:r>
        <w:rPr>
          <w:sz w:val="24"/>
          <w:szCs w:val="24"/>
        </w:rPr>
        <w:t>数据中心对服务器RAS特征的依赖</w:t>
      </w:r>
      <w:r>
        <w:rPr>
          <w:rFonts w:hint="eastAsia"/>
          <w:sz w:val="24"/>
          <w:szCs w:val="24"/>
        </w:rPr>
        <w:t>。服务器虚拟化技术的大规模应用使得业务系统的部署呈现由Unix小型机平台迁移到x86 + 虚拟化 + 集中存储架构的趋势，x86刀片服务器 + 虚拟化 + 集中式存储阵列成为这一时期数据中心的主宰。主流传统IT</w:t>
      </w:r>
      <w:r>
        <w:rPr>
          <w:sz w:val="24"/>
          <w:szCs w:val="24"/>
        </w:rPr>
        <w:t>架构如下图</w:t>
      </w:r>
      <w:r>
        <w:rPr>
          <w:rFonts w:hint="eastAsia"/>
          <w:sz w:val="24"/>
          <w:szCs w:val="24"/>
        </w:rPr>
        <w:t>：</w:t>
      </w:r>
    </w:p>
    <w:p>
      <w:pPr>
        <w:spacing w:line="360" w:lineRule="auto"/>
        <w:rPr>
          <w:sz w:val="24"/>
          <w:szCs w:val="24"/>
        </w:rPr>
      </w:pPr>
      <w:r>
        <w:rPr>
          <w:sz w:val="24"/>
          <w:szCs w:val="24"/>
        </w:rPr>
        <w:drawing>
          <wp:inline distT="0" distB="0" distL="0" distR="0">
            <wp:extent cx="5274310" cy="267525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1" cstate="print"/>
                    <a:stretch>
                      <a:fillRect/>
                    </a:stretch>
                  </pic:blipFill>
                  <pic:spPr>
                    <a:xfrm>
                      <a:off x="0" y="0"/>
                      <a:ext cx="5276672" cy="2676664"/>
                    </a:xfrm>
                    <a:prstGeom prst="rect">
                      <a:avLst/>
                    </a:prstGeom>
                  </pic:spPr>
                </pic:pic>
              </a:graphicData>
            </a:graphic>
          </wp:inline>
        </w:drawing>
      </w:r>
    </w:p>
    <w:p>
      <w:pPr>
        <w:spacing w:line="360" w:lineRule="auto"/>
        <w:rPr>
          <w:sz w:val="24"/>
          <w:szCs w:val="24"/>
        </w:rPr>
      </w:pPr>
      <w:r>
        <w:rPr>
          <w:rFonts w:hint="eastAsia"/>
          <w:sz w:val="24"/>
          <w:szCs w:val="24"/>
        </w:rPr>
        <w:t>其</w:t>
      </w:r>
      <w:r>
        <w:rPr>
          <w:sz w:val="24"/>
          <w:szCs w:val="24"/>
        </w:rPr>
        <w:t>要特点是：</w:t>
      </w:r>
    </w:p>
    <w:p>
      <w:pPr>
        <w:pStyle w:val="129"/>
        <w:widowControl w:val="0"/>
        <w:numPr>
          <w:ilvl w:val="0"/>
          <w:numId w:val="9"/>
        </w:numPr>
        <w:spacing w:before="160" w:after="120" w:line="360" w:lineRule="auto"/>
        <w:ind w:firstLineChars="0"/>
        <w:jc w:val="left"/>
        <w:rPr>
          <w:sz w:val="24"/>
          <w:szCs w:val="24"/>
        </w:rPr>
      </w:pPr>
      <w:r>
        <w:rPr>
          <w:rFonts w:hint="eastAsia"/>
          <w:sz w:val="24"/>
          <w:szCs w:val="24"/>
        </w:rPr>
        <w:t>X86服务器虚拟化已经</w:t>
      </w:r>
      <w:r>
        <w:rPr>
          <w:sz w:val="24"/>
          <w:szCs w:val="24"/>
        </w:rPr>
        <w:t>得到普遍应用</w:t>
      </w:r>
      <w:r>
        <w:rPr>
          <w:rFonts w:hint="eastAsia"/>
          <w:sz w:val="24"/>
          <w:szCs w:val="24"/>
        </w:rPr>
        <w:t>和</w:t>
      </w:r>
      <w:r>
        <w:rPr>
          <w:sz w:val="24"/>
          <w:szCs w:val="24"/>
        </w:rPr>
        <w:t>认可</w:t>
      </w:r>
      <w:r>
        <w:rPr>
          <w:rFonts w:hint="eastAsia"/>
          <w:sz w:val="24"/>
          <w:szCs w:val="24"/>
        </w:rPr>
        <w:t>。小机</w:t>
      </w:r>
      <w:r>
        <w:rPr>
          <w:sz w:val="24"/>
          <w:szCs w:val="24"/>
        </w:rPr>
        <w:t>用户集中在部分金融、医疗、和制造业等</w:t>
      </w:r>
      <w:r>
        <w:rPr>
          <w:rFonts w:hint="eastAsia"/>
          <w:sz w:val="24"/>
          <w:szCs w:val="24"/>
        </w:rPr>
        <w:t>客户</w:t>
      </w:r>
      <w:r>
        <w:rPr>
          <w:sz w:val="24"/>
          <w:szCs w:val="24"/>
        </w:rPr>
        <w:t>，而且因为</w:t>
      </w:r>
      <w:r>
        <w:rPr>
          <w:rFonts w:hint="eastAsia"/>
          <w:sz w:val="24"/>
          <w:szCs w:val="24"/>
        </w:rPr>
        <w:t>成本高昂、架构封闭、不易运维等痛点</w:t>
      </w:r>
      <w:r>
        <w:rPr>
          <w:sz w:val="24"/>
          <w:szCs w:val="24"/>
        </w:rPr>
        <w:t>，</w:t>
      </w:r>
      <w:r>
        <w:rPr>
          <w:rFonts w:hint="eastAsia"/>
          <w:sz w:val="24"/>
          <w:szCs w:val="24"/>
        </w:rPr>
        <w:t>也</w:t>
      </w:r>
      <w:r>
        <w:rPr>
          <w:sz w:val="24"/>
          <w:szCs w:val="24"/>
        </w:rPr>
        <w:t>正在逐步切换至</w:t>
      </w:r>
      <w:r>
        <w:rPr>
          <w:rFonts w:hint="eastAsia"/>
          <w:sz w:val="24"/>
          <w:szCs w:val="24"/>
        </w:rPr>
        <w:t>X86服务器</w:t>
      </w:r>
      <w:r>
        <w:rPr>
          <w:sz w:val="24"/>
          <w:szCs w:val="24"/>
        </w:rPr>
        <w:t>平台。</w:t>
      </w:r>
      <w:r>
        <w:rPr>
          <w:rFonts w:hint="eastAsia"/>
          <w:sz w:val="24"/>
          <w:szCs w:val="24"/>
        </w:rPr>
        <w:t>同时</w:t>
      </w:r>
      <w:r>
        <w:rPr>
          <w:sz w:val="24"/>
          <w:szCs w:val="24"/>
        </w:rPr>
        <w:t>客户</w:t>
      </w:r>
      <w:r>
        <w:rPr>
          <w:rFonts w:hint="eastAsia"/>
          <w:sz w:val="24"/>
          <w:szCs w:val="24"/>
        </w:rPr>
        <w:t>普遍</w:t>
      </w:r>
      <w:r>
        <w:rPr>
          <w:sz w:val="24"/>
          <w:szCs w:val="24"/>
        </w:rPr>
        <w:t>使用虚拟化技术来提高可靠性和可用性，提升了服务器的资源利用率</w:t>
      </w:r>
      <w:r>
        <w:rPr>
          <w:rFonts w:hint="eastAsia"/>
          <w:sz w:val="24"/>
          <w:szCs w:val="24"/>
        </w:rPr>
        <w:t>。</w:t>
      </w:r>
    </w:p>
    <w:p>
      <w:pPr>
        <w:pStyle w:val="129"/>
        <w:widowControl w:val="0"/>
        <w:numPr>
          <w:ilvl w:val="0"/>
          <w:numId w:val="9"/>
        </w:numPr>
        <w:spacing w:before="160" w:after="120" w:line="360" w:lineRule="auto"/>
        <w:ind w:firstLineChars="0"/>
        <w:jc w:val="left"/>
        <w:rPr>
          <w:sz w:val="24"/>
          <w:szCs w:val="24"/>
        </w:rPr>
      </w:pPr>
      <w:r>
        <w:rPr>
          <w:rFonts w:hint="eastAsia"/>
          <w:sz w:val="24"/>
          <w:szCs w:val="24"/>
        </w:rPr>
        <w:t>使用集中式外部存储。</w:t>
      </w:r>
      <w:r>
        <w:rPr>
          <w:sz w:val="24"/>
          <w:szCs w:val="24"/>
        </w:rPr>
        <w:t>服务器本地没有存储</w:t>
      </w:r>
      <w:r>
        <w:rPr>
          <w:rFonts w:hint="eastAsia"/>
          <w:sz w:val="24"/>
          <w:szCs w:val="24"/>
        </w:rPr>
        <w:t>能力，</w:t>
      </w:r>
      <w:r>
        <w:rPr>
          <w:sz w:val="24"/>
          <w:szCs w:val="24"/>
        </w:rPr>
        <w:t>通过</w:t>
      </w:r>
      <w:r>
        <w:rPr>
          <w:rFonts w:hint="eastAsia"/>
          <w:sz w:val="24"/>
          <w:szCs w:val="24"/>
        </w:rPr>
        <w:t>FC交换机</w:t>
      </w:r>
      <w:r>
        <w:rPr>
          <w:sz w:val="24"/>
          <w:szCs w:val="24"/>
        </w:rPr>
        <w:t>连接至集中式存储</w:t>
      </w:r>
      <w:r>
        <w:rPr>
          <w:rFonts w:hint="eastAsia"/>
          <w:sz w:val="24"/>
          <w:szCs w:val="24"/>
        </w:rPr>
        <w:t>，</w:t>
      </w:r>
      <w:r>
        <w:rPr>
          <w:sz w:val="24"/>
          <w:szCs w:val="24"/>
        </w:rPr>
        <w:t>集中式存储的特点是</w:t>
      </w:r>
      <w:r>
        <w:rPr>
          <w:rFonts w:hint="eastAsia"/>
          <w:sz w:val="24"/>
          <w:szCs w:val="24"/>
        </w:rPr>
        <w:t>通过</w:t>
      </w:r>
      <w:r>
        <w:rPr>
          <w:sz w:val="24"/>
          <w:szCs w:val="24"/>
        </w:rPr>
        <w:t>双控机头或者多控机头</w:t>
      </w:r>
      <w:r>
        <w:rPr>
          <w:rFonts w:hint="eastAsia"/>
          <w:sz w:val="24"/>
          <w:szCs w:val="24"/>
        </w:rPr>
        <w:t>连接</w:t>
      </w:r>
      <w:r>
        <w:rPr>
          <w:sz w:val="24"/>
          <w:szCs w:val="24"/>
        </w:rPr>
        <w:t>磁盘柜，所有</w:t>
      </w:r>
      <w:r>
        <w:rPr>
          <w:rFonts w:hint="eastAsia"/>
          <w:sz w:val="24"/>
          <w:szCs w:val="24"/>
        </w:rPr>
        <w:t>IO路径</w:t>
      </w:r>
      <w:r>
        <w:rPr>
          <w:sz w:val="24"/>
          <w:szCs w:val="24"/>
        </w:rPr>
        <w:t>通过机头来控制。</w:t>
      </w:r>
    </w:p>
    <w:p>
      <w:pPr>
        <w:pStyle w:val="129"/>
        <w:widowControl w:val="0"/>
        <w:numPr>
          <w:ilvl w:val="0"/>
          <w:numId w:val="9"/>
        </w:numPr>
        <w:spacing w:before="160" w:after="120" w:line="360" w:lineRule="auto"/>
        <w:ind w:firstLineChars="0"/>
        <w:jc w:val="left"/>
        <w:rPr>
          <w:sz w:val="24"/>
          <w:szCs w:val="24"/>
        </w:rPr>
      </w:pPr>
      <w:r>
        <w:rPr>
          <w:rFonts w:hint="eastAsia"/>
          <w:sz w:val="24"/>
          <w:szCs w:val="24"/>
        </w:rPr>
        <w:t>以</w:t>
      </w:r>
      <w:r>
        <w:rPr>
          <w:sz w:val="24"/>
          <w:szCs w:val="24"/>
        </w:rPr>
        <w:t>方案集成的形式交付</w:t>
      </w:r>
      <w:r>
        <w:rPr>
          <w:rFonts w:hint="eastAsia"/>
          <w:sz w:val="24"/>
          <w:szCs w:val="24"/>
        </w:rPr>
        <w:t>。I</w:t>
      </w:r>
      <w:r>
        <w:rPr>
          <w:sz w:val="24"/>
          <w:szCs w:val="24"/>
        </w:rPr>
        <w:t>T</w:t>
      </w:r>
      <w:r>
        <w:rPr>
          <w:rFonts w:hint="eastAsia"/>
          <w:sz w:val="24"/>
          <w:szCs w:val="24"/>
        </w:rPr>
        <w:t>架构</w:t>
      </w:r>
      <w:r>
        <w:rPr>
          <w:sz w:val="24"/>
          <w:szCs w:val="24"/>
        </w:rPr>
        <w:t>通常涉及</w:t>
      </w:r>
      <w:r>
        <w:rPr>
          <w:rFonts w:hint="eastAsia"/>
          <w:sz w:val="24"/>
          <w:szCs w:val="24"/>
        </w:rPr>
        <w:t>众多</w:t>
      </w:r>
      <w:r>
        <w:rPr>
          <w:sz w:val="24"/>
          <w:szCs w:val="24"/>
        </w:rPr>
        <w:t>厂商和品牌，</w:t>
      </w:r>
      <w:r>
        <w:rPr>
          <w:rFonts w:hint="eastAsia"/>
          <w:sz w:val="24"/>
          <w:szCs w:val="24"/>
        </w:rPr>
        <w:t>设备</w:t>
      </w:r>
      <w:r>
        <w:rPr>
          <w:sz w:val="24"/>
          <w:szCs w:val="24"/>
        </w:rPr>
        <w:t>种类多</w:t>
      </w:r>
      <w:r>
        <w:rPr>
          <w:rFonts w:hint="eastAsia"/>
          <w:sz w:val="24"/>
          <w:szCs w:val="24"/>
        </w:rPr>
        <w:t>。通常由</w:t>
      </w:r>
      <w:r>
        <w:rPr>
          <w:sz w:val="24"/>
          <w:szCs w:val="24"/>
        </w:rPr>
        <w:t>集成商做系统集成</w:t>
      </w:r>
      <w:r>
        <w:rPr>
          <w:rFonts w:hint="eastAsia"/>
          <w:sz w:val="24"/>
          <w:szCs w:val="24"/>
        </w:rPr>
        <w:t>来</w:t>
      </w:r>
      <w:r>
        <w:rPr>
          <w:sz w:val="24"/>
          <w:szCs w:val="24"/>
        </w:rPr>
        <w:t>交付完整解决方案，后续运维无法实现一个管理软件</w:t>
      </w:r>
      <w:r>
        <w:rPr>
          <w:rFonts w:hint="eastAsia"/>
          <w:sz w:val="24"/>
          <w:szCs w:val="24"/>
        </w:rPr>
        <w:t>实现</w:t>
      </w:r>
      <w:r>
        <w:rPr>
          <w:sz w:val="24"/>
          <w:szCs w:val="24"/>
        </w:rPr>
        <w:t>全部配置、管理、</w:t>
      </w:r>
      <w:r>
        <w:rPr>
          <w:rFonts w:hint="eastAsia"/>
          <w:sz w:val="24"/>
          <w:szCs w:val="24"/>
        </w:rPr>
        <w:t>监控</w:t>
      </w:r>
      <w:r>
        <w:rPr>
          <w:sz w:val="24"/>
          <w:szCs w:val="24"/>
        </w:rPr>
        <w:t>功能</w:t>
      </w:r>
      <w:r>
        <w:rPr>
          <w:rFonts w:hint="eastAsia"/>
          <w:sz w:val="24"/>
          <w:szCs w:val="24"/>
        </w:rPr>
        <w:t>。</w:t>
      </w:r>
    </w:p>
    <w:p>
      <w:pPr>
        <w:spacing w:line="360" w:lineRule="auto"/>
        <w:rPr>
          <w:sz w:val="24"/>
          <w:szCs w:val="24"/>
        </w:rPr>
      </w:pPr>
      <w:r>
        <w:rPr>
          <w:sz w:val="24"/>
          <w:szCs w:val="24"/>
        </w:rPr>
        <w:t>随着企业业务规模的</w:t>
      </w:r>
      <w:r>
        <w:rPr>
          <w:rFonts w:hint="eastAsia"/>
          <w:sz w:val="24"/>
          <w:szCs w:val="24"/>
        </w:rPr>
        <w:t>不断扩张</w:t>
      </w:r>
      <w:r>
        <w:rPr>
          <w:sz w:val="24"/>
          <w:szCs w:val="24"/>
        </w:rPr>
        <w:t>，</w:t>
      </w:r>
      <w:r>
        <w:rPr>
          <w:rFonts w:hint="eastAsia"/>
          <w:sz w:val="24"/>
          <w:szCs w:val="24"/>
        </w:rPr>
        <w:t>尤其</w:t>
      </w:r>
      <w:r>
        <w:rPr>
          <w:sz w:val="24"/>
          <w:szCs w:val="24"/>
        </w:rPr>
        <w:t>是云计算</w:t>
      </w:r>
      <w:r>
        <w:rPr>
          <w:rFonts w:hint="eastAsia"/>
          <w:sz w:val="24"/>
          <w:szCs w:val="24"/>
        </w:rPr>
        <w:t>大潮</w:t>
      </w:r>
      <w:r>
        <w:rPr>
          <w:sz w:val="24"/>
          <w:szCs w:val="24"/>
        </w:rPr>
        <w:t>来临，</w:t>
      </w:r>
      <w:r>
        <w:rPr>
          <w:rFonts w:hint="eastAsia"/>
          <w:sz w:val="24"/>
          <w:szCs w:val="24"/>
        </w:rPr>
        <w:t>IT平台的规模和复杂程度出现大幅度的提升，业务</w:t>
      </w:r>
      <w:r>
        <w:rPr>
          <w:sz w:val="24"/>
          <w:szCs w:val="24"/>
        </w:rPr>
        <w:t>对</w:t>
      </w:r>
      <w:r>
        <w:rPr>
          <w:rFonts w:hint="eastAsia"/>
          <w:sz w:val="24"/>
          <w:szCs w:val="24"/>
        </w:rPr>
        <w:t>IT基础架构</w:t>
      </w:r>
      <w:r>
        <w:rPr>
          <w:sz w:val="24"/>
          <w:szCs w:val="24"/>
        </w:rPr>
        <w:t>的灵活性、可</w:t>
      </w:r>
      <w:r>
        <w:rPr>
          <w:rFonts w:hint="eastAsia"/>
          <w:sz w:val="24"/>
          <w:szCs w:val="24"/>
        </w:rPr>
        <w:t>扩展</w:t>
      </w:r>
      <w:r>
        <w:rPr>
          <w:sz w:val="24"/>
          <w:szCs w:val="24"/>
        </w:rPr>
        <w:t>性以及</w:t>
      </w:r>
      <w:r>
        <w:rPr>
          <w:rFonts w:hint="eastAsia"/>
          <w:sz w:val="24"/>
          <w:szCs w:val="24"/>
        </w:rPr>
        <w:t>快速</w:t>
      </w:r>
      <w:r>
        <w:rPr>
          <w:sz w:val="24"/>
          <w:szCs w:val="24"/>
        </w:rPr>
        <w:t>上线的能力提出了更高的要求，传统</w:t>
      </w:r>
      <w:r>
        <w:rPr>
          <w:rFonts w:hint="eastAsia"/>
          <w:sz w:val="24"/>
          <w:szCs w:val="24"/>
        </w:rPr>
        <w:t>IT</w:t>
      </w:r>
      <w:r>
        <w:rPr>
          <w:sz w:val="24"/>
          <w:szCs w:val="24"/>
        </w:rPr>
        <w:t>数据中心架构</w:t>
      </w:r>
      <w:r>
        <w:rPr>
          <w:rFonts w:hint="eastAsia"/>
          <w:sz w:val="24"/>
          <w:szCs w:val="24"/>
        </w:rPr>
        <w:t>的</w:t>
      </w:r>
      <w:r>
        <w:rPr>
          <w:sz w:val="24"/>
          <w:szCs w:val="24"/>
        </w:rPr>
        <w:t>弊端</w:t>
      </w:r>
      <w:r>
        <w:rPr>
          <w:rFonts w:hint="eastAsia"/>
          <w:sz w:val="24"/>
          <w:szCs w:val="24"/>
        </w:rPr>
        <w:t>也</w:t>
      </w:r>
      <w:r>
        <w:rPr>
          <w:sz w:val="24"/>
          <w:szCs w:val="24"/>
        </w:rPr>
        <w:t>逐渐显现</w:t>
      </w:r>
      <w:r>
        <w:rPr>
          <w:rFonts w:hint="eastAsia"/>
          <w:sz w:val="24"/>
          <w:szCs w:val="24"/>
        </w:rPr>
        <w:t>，具体表现为：</w:t>
      </w:r>
    </w:p>
    <w:p>
      <w:pPr>
        <w:pStyle w:val="5"/>
        <w:spacing w:line="360" w:lineRule="auto"/>
        <w:rPr>
          <w:sz w:val="24"/>
          <w:szCs w:val="24"/>
        </w:rPr>
      </w:pPr>
      <w:bookmarkStart w:id="12" w:name="_Toc31704596"/>
      <w:r>
        <w:rPr>
          <w:rFonts w:hint="eastAsia"/>
          <w:sz w:val="24"/>
          <w:szCs w:val="24"/>
        </w:rPr>
        <w:t>架构复杂</w:t>
      </w:r>
      <w:r>
        <w:rPr>
          <w:sz w:val="24"/>
          <w:szCs w:val="24"/>
        </w:rPr>
        <w:t>，</w:t>
      </w:r>
      <w:r>
        <w:rPr>
          <w:rFonts w:hint="eastAsia"/>
          <w:sz w:val="24"/>
          <w:szCs w:val="24"/>
        </w:rPr>
        <w:t>管理</w:t>
      </w:r>
      <w:r>
        <w:rPr>
          <w:sz w:val="24"/>
          <w:szCs w:val="24"/>
        </w:rPr>
        <w:t>困难，</w:t>
      </w:r>
      <w:r>
        <w:rPr>
          <w:rFonts w:hint="eastAsia"/>
          <w:sz w:val="24"/>
          <w:szCs w:val="24"/>
        </w:rPr>
        <w:t>策略分散</w:t>
      </w:r>
      <w:bookmarkEnd w:id="12"/>
    </w:p>
    <w:p>
      <w:pPr>
        <w:spacing w:line="360" w:lineRule="auto"/>
        <w:rPr>
          <w:sz w:val="24"/>
          <w:szCs w:val="24"/>
        </w:rPr>
      </w:pPr>
      <w:r>
        <w:rPr>
          <w:rFonts w:hint="eastAsia"/>
          <w:sz w:val="24"/>
          <w:szCs w:val="24"/>
        </w:rPr>
        <w:t>存储、服务器、网络</w:t>
      </w:r>
      <w:r>
        <w:rPr>
          <w:sz w:val="24"/>
          <w:szCs w:val="24"/>
        </w:rPr>
        <w:t>安全设备</w:t>
      </w:r>
      <w:r>
        <w:rPr>
          <w:rFonts w:hint="eastAsia"/>
          <w:sz w:val="24"/>
          <w:szCs w:val="24"/>
        </w:rPr>
        <w:t>三层堆栈部署存在明显的复杂性，需要对多层软硬件结构进行组装和调试，才能使其正常工作。</w:t>
      </w:r>
    </w:p>
    <w:p>
      <w:pPr>
        <w:spacing w:line="360" w:lineRule="auto"/>
        <w:rPr>
          <w:sz w:val="24"/>
          <w:szCs w:val="24"/>
        </w:rPr>
      </w:pPr>
      <w:r>
        <w:rPr>
          <w:rFonts w:hint="eastAsia"/>
          <w:sz w:val="24"/>
          <w:szCs w:val="24"/>
        </w:rPr>
        <w:t>首先，需要从网络设备厂商采购ToR（Top of Rack，架顶式）交换机，然后从服务器硬件厂商采购服务器，再从存储厂商采购昂贵的存储设备，如果是FC存储，还需要在服务器上部署专门的HBA（Host Bus Adapter，主机总线适配器）卡来提升访问性能，最后，使用Hypervisor软件管理平台实现虚拟机与业务系统的部署。</w:t>
      </w:r>
    </w:p>
    <w:p>
      <w:pPr>
        <w:spacing w:line="360" w:lineRule="auto"/>
        <w:rPr>
          <w:sz w:val="24"/>
          <w:szCs w:val="24"/>
        </w:rPr>
      </w:pPr>
      <w:r>
        <w:rPr>
          <w:rFonts w:hint="eastAsia"/>
          <w:sz w:val="24"/>
          <w:szCs w:val="24"/>
        </w:rPr>
        <w:t>上述IT建设模式导致设备供应商和设备种类繁多，用户需要花费大量的时间和精力准备大量复杂的基础设施，各种设备的配置相互独立，管理割裂，缺少统一的集中化IT构建策略，无法对数据中心内的基础设施进行统一</w:t>
      </w:r>
      <w:r>
        <w:rPr>
          <w:sz w:val="24"/>
          <w:szCs w:val="24"/>
        </w:rPr>
        <w:t>的</w:t>
      </w:r>
      <w:r>
        <w:rPr>
          <w:rFonts w:hint="eastAsia"/>
          <w:sz w:val="24"/>
          <w:szCs w:val="24"/>
        </w:rPr>
        <w:t>监控、管理、报告和远程访问，后期维护技术门槛高。</w:t>
      </w:r>
    </w:p>
    <w:p>
      <w:pPr>
        <w:pStyle w:val="5"/>
        <w:spacing w:line="360" w:lineRule="auto"/>
        <w:rPr>
          <w:sz w:val="24"/>
          <w:szCs w:val="24"/>
        </w:rPr>
      </w:pPr>
      <w:bookmarkStart w:id="13" w:name="_Toc31704597"/>
      <w:r>
        <w:rPr>
          <w:rFonts w:hint="eastAsia"/>
          <w:sz w:val="24"/>
          <w:szCs w:val="24"/>
        </w:rPr>
        <w:t>集中式存储扩展性</w:t>
      </w:r>
      <w:r>
        <w:rPr>
          <w:sz w:val="24"/>
          <w:szCs w:val="24"/>
        </w:rPr>
        <w:t>差，造成了</w:t>
      </w:r>
      <w:r>
        <w:rPr>
          <w:rFonts w:hint="eastAsia"/>
          <w:sz w:val="24"/>
          <w:szCs w:val="24"/>
        </w:rPr>
        <w:t>存储割裂及</w:t>
      </w:r>
      <w:r>
        <w:rPr>
          <w:sz w:val="24"/>
          <w:szCs w:val="24"/>
        </w:rPr>
        <w:t>竖井化</w:t>
      </w:r>
      <w:bookmarkEnd w:id="13"/>
    </w:p>
    <w:p>
      <w:pPr>
        <w:spacing w:line="360" w:lineRule="auto"/>
        <w:rPr>
          <w:sz w:val="24"/>
          <w:szCs w:val="24"/>
        </w:rPr>
      </w:pPr>
      <w:r>
        <w:rPr>
          <w:rFonts w:hint="eastAsia"/>
          <w:sz w:val="24"/>
          <w:szCs w:val="24"/>
        </w:rPr>
        <w:t>传统存储</w:t>
      </w:r>
      <w:r>
        <w:rPr>
          <w:sz w:val="24"/>
          <w:szCs w:val="24"/>
        </w:rPr>
        <w:t>根据</w:t>
      </w:r>
      <w:r>
        <w:rPr>
          <w:rFonts w:hint="eastAsia"/>
          <w:sz w:val="24"/>
          <w:szCs w:val="24"/>
        </w:rPr>
        <w:t>机头</w:t>
      </w:r>
      <w:r>
        <w:rPr>
          <w:sz w:val="24"/>
          <w:szCs w:val="24"/>
        </w:rPr>
        <w:t>控制器的能力分为高中低三</w:t>
      </w:r>
      <w:r>
        <w:rPr>
          <w:rFonts w:hint="eastAsia"/>
          <w:sz w:val="24"/>
          <w:szCs w:val="24"/>
        </w:rPr>
        <w:t>档存储，低端</w:t>
      </w:r>
      <w:r>
        <w:rPr>
          <w:sz w:val="24"/>
          <w:szCs w:val="24"/>
        </w:rPr>
        <w:t>存储</w:t>
      </w:r>
      <w:r>
        <w:rPr>
          <w:rFonts w:hint="eastAsia"/>
          <w:sz w:val="24"/>
          <w:szCs w:val="24"/>
        </w:rPr>
        <w:t>通常</w:t>
      </w:r>
      <w:r>
        <w:rPr>
          <w:sz w:val="24"/>
          <w:szCs w:val="24"/>
        </w:rPr>
        <w:t>支持</w:t>
      </w:r>
      <w:r>
        <w:rPr>
          <w:rFonts w:hint="eastAsia"/>
          <w:sz w:val="24"/>
          <w:szCs w:val="24"/>
        </w:rPr>
        <w:t>200块</w:t>
      </w:r>
      <w:r>
        <w:rPr>
          <w:sz w:val="24"/>
          <w:szCs w:val="24"/>
        </w:rPr>
        <w:t>硬盘</w:t>
      </w:r>
      <w:r>
        <w:rPr>
          <w:rFonts w:hint="eastAsia"/>
          <w:sz w:val="24"/>
          <w:szCs w:val="24"/>
        </w:rPr>
        <w:t>左右</w:t>
      </w:r>
      <w:r>
        <w:rPr>
          <w:sz w:val="24"/>
          <w:szCs w:val="24"/>
        </w:rPr>
        <w:t>的扩展能力，</w:t>
      </w:r>
      <w:r>
        <w:rPr>
          <w:rFonts w:hint="eastAsia"/>
          <w:sz w:val="24"/>
          <w:szCs w:val="24"/>
        </w:rPr>
        <w:t>中端</w:t>
      </w:r>
      <w:r>
        <w:rPr>
          <w:sz w:val="24"/>
          <w:szCs w:val="24"/>
        </w:rPr>
        <w:t>存储</w:t>
      </w:r>
      <w:r>
        <w:rPr>
          <w:rFonts w:hint="eastAsia"/>
          <w:sz w:val="24"/>
          <w:szCs w:val="24"/>
        </w:rPr>
        <w:t>通常</w:t>
      </w:r>
      <w:r>
        <w:rPr>
          <w:sz w:val="24"/>
          <w:szCs w:val="24"/>
        </w:rPr>
        <w:t>支持</w:t>
      </w:r>
      <w:r>
        <w:rPr>
          <w:rFonts w:hint="eastAsia"/>
          <w:sz w:val="24"/>
          <w:szCs w:val="24"/>
        </w:rPr>
        <w:t>1000块</w:t>
      </w:r>
      <w:r>
        <w:rPr>
          <w:sz w:val="24"/>
          <w:szCs w:val="24"/>
        </w:rPr>
        <w:t>硬盘</w:t>
      </w:r>
      <w:r>
        <w:rPr>
          <w:rFonts w:hint="eastAsia"/>
          <w:sz w:val="24"/>
          <w:szCs w:val="24"/>
        </w:rPr>
        <w:t>左右扩展</w:t>
      </w:r>
      <w:r>
        <w:rPr>
          <w:sz w:val="24"/>
          <w:szCs w:val="24"/>
        </w:rPr>
        <w:t>能力，高端存储</w:t>
      </w:r>
      <w:r>
        <w:rPr>
          <w:rFonts w:hint="eastAsia"/>
          <w:sz w:val="24"/>
          <w:szCs w:val="24"/>
        </w:rPr>
        <w:t>通常</w:t>
      </w:r>
      <w:r>
        <w:rPr>
          <w:sz w:val="24"/>
          <w:szCs w:val="24"/>
        </w:rPr>
        <w:t>支持</w:t>
      </w:r>
      <w:r>
        <w:rPr>
          <w:rFonts w:hint="eastAsia"/>
          <w:sz w:val="24"/>
          <w:szCs w:val="24"/>
        </w:rPr>
        <w:t>5000块</w:t>
      </w:r>
      <w:r>
        <w:rPr>
          <w:sz w:val="24"/>
          <w:szCs w:val="24"/>
        </w:rPr>
        <w:t>硬盘</w:t>
      </w:r>
      <w:r>
        <w:rPr>
          <w:rFonts w:hint="eastAsia"/>
          <w:sz w:val="24"/>
          <w:szCs w:val="24"/>
        </w:rPr>
        <w:t>左右</w:t>
      </w:r>
      <w:r>
        <w:rPr>
          <w:sz w:val="24"/>
          <w:szCs w:val="24"/>
        </w:rPr>
        <w:t>扩展能力。</w:t>
      </w:r>
      <w:r>
        <w:rPr>
          <w:rFonts w:hint="eastAsia"/>
          <w:sz w:val="24"/>
          <w:szCs w:val="24"/>
        </w:rPr>
        <w:t>集中式</w:t>
      </w:r>
      <w:r>
        <w:rPr>
          <w:sz w:val="24"/>
          <w:szCs w:val="24"/>
        </w:rPr>
        <w:t>存储</w:t>
      </w:r>
      <w:r>
        <w:rPr>
          <w:rFonts w:hint="eastAsia"/>
          <w:sz w:val="24"/>
          <w:szCs w:val="24"/>
        </w:rPr>
        <w:t>扩展性受限，低端</w:t>
      </w:r>
      <w:r>
        <w:rPr>
          <w:sz w:val="24"/>
          <w:szCs w:val="24"/>
        </w:rPr>
        <w:t>存储</w:t>
      </w:r>
      <w:r>
        <w:rPr>
          <w:rFonts w:hint="eastAsia"/>
          <w:sz w:val="24"/>
          <w:szCs w:val="24"/>
        </w:rPr>
        <w:t>无法</w:t>
      </w:r>
      <w:r>
        <w:rPr>
          <w:sz w:val="24"/>
          <w:szCs w:val="24"/>
        </w:rPr>
        <w:t>升级为中高端存储</w:t>
      </w:r>
      <w:r>
        <w:rPr>
          <w:rFonts w:hint="eastAsia"/>
          <w:sz w:val="24"/>
          <w:szCs w:val="24"/>
        </w:rPr>
        <w:t>，不能实现随着计算资源扩展而自由地横向扩展。当客户</w:t>
      </w:r>
      <w:r>
        <w:rPr>
          <w:sz w:val="24"/>
          <w:szCs w:val="24"/>
        </w:rPr>
        <w:t>业务量较小</w:t>
      </w:r>
      <w:r>
        <w:rPr>
          <w:rFonts w:hint="eastAsia"/>
          <w:sz w:val="24"/>
          <w:szCs w:val="24"/>
        </w:rPr>
        <w:t>时</w:t>
      </w:r>
      <w:r>
        <w:rPr>
          <w:sz w:val="24"/>
          <w:szCs w:val="24"/>
        </w:rPr>
        <w:t>，初期购买</w:t>
      </w:r>
      <w:r>
        <w:rPr>
          <w:rFonts w:hint="eastAsia"/>
          <w:sz w:val="24"/>
          <w:szCs w:val="24"/>
        </w:rPr>
        <w:t>中</w:t>
      </w:r>
      <w:r>
        <w:rPr>
          <w:sz w:val="24"/>
          <w:szCs w:val="24"/>
        </w:rPr>
        <w:t>低端存储，</w:t>
      </w:r>
      <w:r>
        <w:rPr>
          <w:rFonts w:hint="eastAsia"/>
          <w:sz w:val="24"/>
          <w:szCs w:val="24"/>
        </w:rPr>
        <w:t>后续遇到</w:t>
      </w:r>
      <w:r>
        <w:rPr>
          <w:sz w:val="24"/>
          <w:szCs w:val="24"/>
        </w:rPr>
        <w:t>业务量增加</w:t>
      </w:r>
      <w:r>
        <w:rPr>
          <w:rFonts w:hint="eastAsia"/>
          <w:sz w:val="24"/>
          <w:szCs w:val="24"/>
        </w:rPr>
        <w:t>或者新上</w:t>
      </w:r>
      <w:r>
        <w:rPr>
          <w:sz w:val="24"/>
          <w:szCs w:val="24"/>
        </w:rPr>
        <w:t>业务，</w:t>
      </w:r>
      <w:r>
        <w:rPr>
          <w:rFonts w:hint="eastAsia"/>
          <w:sz w:val="24"/>
          <w:szCs w:val="24"/>
        </w:rPr>
        <w:t>存储</w:t>
      </w:r>
      <w:r>
        <w:rPr>
          <w:sz w:val="24"/>
          <w:szCs w:val="24"/>
        </w:rPr>
        <w:t>性能和容量</w:t>
      </w:r>
      <w:r>
        <w:rPr>
          <w:rFonts w:hint="eastAsia"/>
          <w:sz w:val="24"/>
          <w:szCs w:val="24"/>
        </w:rPr>
        <w:t>则无法</w:t>
      </w:r>
      <w:r>
        <w:rPr>
          <w:sz w:val="24"/>
          <w:szCs w:val="24"/>
        </w:rPr>
        <w:t>满足客户需求，</w:t>
      </w:r>
      <w:r>
        <w:rPr>
          <w:rFonts w:hint="eastAsia"/>
          <w:sz w:val="24"/>
          <w:szCs w:val="24"/>
        </w:rPr>
        <w:t>通常</w:t>
      </w:r>
      <w:r>
        <w:rPr>
          <w:sz w:val="24"/>
          <w:szCs w:val="24"/>
        </w:rPr>
        <w:t>选择是再增加一台</w:t>
      </w:r>
      <w:r>
        <w:rPr>
          <w:rFonts w:hint="eastAsia"/>
          <w:sz w:val="24"/>
          <w:szCs w:val="24"/>
        </w:rPr>
        <w:t>新</w:t>
      </w:r>
      <w:r>
        <w:rPr>
          <w:sz w:val="24"/>
          <w:szCs w:val="24"/>
        </w:rPr>
        <w:t>的</w:t>
      </w:r>
      <w:r>
        <w:rPr>
          <w:rFonts w:hint="eastAsia"/>
          <w:sz w:val="24"/>
          <w:szCs w:val="24"/>
        </w:rPr>
        <w:t>中</w:t>
      </w:r>
      <w:r>
        <w:rPr>
          <w:sz w:val="24"/>
          <w:szCs w:val="24"/>
        </w:rPr>
        <w:t>低端存储，这样就造成了多存储平台之间的割裂</w:t>
      </w:r>
      <w:r>
        <w:rPr>
          <w:rFonts w:hint="eastAsia"/>
          <w:sz w:val="24"/>
          <w:szCs w:val="24"/>
        </w:rPr>
        <w:t>，</w:t>
      </w:r>
      <w:r>
        <w:rPr>
          <w:sz w:val="24"/>
          <w:szCs w:val="24"/>
        </w:rPr>
        <w:t>资源利用率</w:t>
      </w:r>
      <w:r>
        <w:rPr>
          <w:rFonts w:hint="eastAsia"/>
          <w:sz w:val="24"/>
          <w:szCs w:val="24"/>
        </w:rPr>
        <w:t>底，</w:t>
      </w:r>
      <w:r>
        <w:rPr>
          <w:sz w:val="24"/>
          <w:szCs w:val="24"/>
        </w:rPr>
        <w:t>管理复杂，无法满足</w:t>
      </w:r>
      <w:r>
        <w:rPr>
          <w:rFonts w:hint="eastAsia"/>
          <w:sz w:val="24"/>
          <w:szCs w:val="24"/>
        </w:rPr>
        <w:t>上层</w:t>
      </w:r>
      <w:r>
        <w:rPr>
          <w:sz w:val="24"/>
          <w:szCs w:val="24"/>
        </w:rPr>
        <w:t>业务对易用性和敏捷性的需求。如果</w:t>
      </w:r>
      <w:r>
        <w:rPr>
          <w:rFonts w:hint="eastAsia"/>
          <w:sz w:val="24"/>
          <w:szCs w:val="24"/>
        </w:rPr>
        <w:t>客户</w:t>
      </w:r>
      <w:r>
        <w:rPr>
          <w:sz w:val="24"/>
          <w:szCs w:val="24"/>
        </w:rPr>
        <w:t>初次购买高端存储，则又会遇到</w:t>
      </w:r>
      <w:r>
        <w:rPr>
          <w:rFonts w:hint="eastAsia"/>
          <w:sz w:val="24"/>
          <w:szCs w:val="24"/>
        </w:rPr>
        <w:t>初次</w:t>
      </w:r>
      <w:r>
        <w:rPr>
          <w:sz w:val="24"/>
          <w:szCs w:val="24"/>
        </w:rPr>
        <w:t>投入成本过高，设备利用率不足等问题</w:t>
      </w:r>
      <w:r>
        <w:rPr>
          <w:rFonts w:hint="eastAsia"/>
          <w:sz w:val="24"/>
          <w:szCs w:val="24"/>
        </w:rPr>
        <w:t>。</w:t>
      </w:r>
    </w:p>
    <w:p>
      <w:pPr>
        <w:pStyle w:val="16"/>
        <w:spacing w:line="360" w:lineRule="auto"/>
        <w:rPr>
          <w:sz w:val="24"/>
          <w:szCs w:val="24"/>
        </w:rPr>
      </w:pPr>
      <w:r>
        <w:rPr>
          <w:rFonts w:hint="eastAsia" w:cs="Times New Roman"/>
          <w:sz w:val="24"/>
          <w:szCs w:val="24"/>
        </w:rPr>
        <w:t>随着</w:t>
      </w:r>
      <w:r>
        <w:rPr>
          <w:rFonts w:cs="Times New Roman"/>
          <w:sz w:val="24"/>
          <w:szCs w:val="24"/>
        </w:rPr>
        <w:t>数据</w:t>
      </w:r>
      <w:r>
        <w:rPr>
          <w:rFonts w:hint="eastAsia" w:cs="Times New Roman"/>
          <w:sz w:val="24"/>
          <w:szCs w:val="24"/>
        </w:rPr>
        <w:t>集中化</w:t>
      </w:r>
      <w:r>
        <w:rPr>
          <w:rFonts w:cs="Times New Roman"/>
          <w:sz w:val="24"/>
          <w:szCs w:val="24"/>
        </w:rPr>
        <w:t>及云计算成为主流建设模式，</w:t>
      </w:r>
      <w:r>
        <w:rPr>
          <w:rFonts w:hint="eastAsia" w:cs="Times New Roman"/>
          <w:sz w:val="24"/>
          <w:szCs w:val="24"/>
        </w:rPr>
        <w:t>存储资源</w:t>
      </w:r>
      <w:r>
        <w:rPr>
          <w:rFonts w:hint="eastAsia"/>
          <w:sz w:val="24"/>
          <w:szCs w:val="24"/>
        </w:rPr>
        <w:t>集中化，业务</w:t>
      </w:r>
      <w:r>
        <w:rPr>
          <w:sz w:val="24"/>
          <w:szCs w:val="24"/>
        </w:rPr>
        <w:t>大规模部署及运维</w:t>
      </w:r>
      <w:r>
        <w:rPr>
          <w:rFonts w:hint="eastAsia"/>
          <w:sz w:val="24"/>
          <w:szCs w:val="24"/>
        </w:rPr>
        <w:t>逐步</w:t>
      </w:r>
      <w:r>
        <w:rPr>
          <w:sz w:val="24"/>
          <w:szCs w:val="24"/>
        </w:rPr>
        <w:t>成为刚需，传统存储在扩展性上受限，</w:t>
      </w:r>
      <w:r>
        <w:rPr>
          <w:rFonts w:hint="eastAsia"/>
          <w:sz w:val="24"/>
          <w:szCs w:val="24"/>
        </w:rPr>
        <w:t>无法适应虚拟化数据中心弹性可扩展的未来要求，这</w:t>
      </w:r>
      <w:r>
        <w:rPr>
          <w:sz w:val="24"/>
          <w:szCs w:val="24"/>
        </w:rPr>
        <w:t>是目前客户遇到的主要痛点之一。</w:t>
      </w:r>
    </w:p>
    <w:p>
      <w:pPr>
        <w:pStyle w:val="5"/>
        <w:spacing w:line="360" w:lineRule="auto"/>
        <w:rPr>
          <w:sz w:val="24"/>
          <w:szCs w:val="24"/>
        </w:rPr>
      </w:pPr>
      <w:bookmarkStart w:id="14" w:name="_Toc31704598"/>
      <w:r>
        <w:rPr>
          <w:rFonts w:hint="eastAsia"/>
          <w:sz w:val="24"/>
          <w:szCs w:val="24"/>
        </w:rPr>
        <w:t>高昂的成本支出</w:t>
      </w:r>
      <w:bookmarkEnd w:id="14"/>
    </w:p>
    <w:p>
      <w:pPr>
        <w:spacing w:line="360" w:lineRule="auto"/>
        <w:rPr>
          <w:sz w:val="24"/>
          <w:szCs w:val="24"/>
        </w:rPr>
      </w:pPr>
      <w:r>
        <w:rPr>
          <w:rFonts w:hint="eastAsia"/>
          <w:sz w:val="24"/>
          <w:szCs w:val="24"/>
        </w:rPr>
        <w:t>投资成本高：传统</w:t>
      </w:r>
      <w:r>
        <w:rPr>
          <w:sz w:val="24"/>
          <w:szCs w:val="24"/>
        </w:rPr>
        <w:t>的</w:t>
      </w:r>
      <w:r>
        <w:rPr>
          <w:rFonts w:hint="eastAsia"/>
          <w:sz w:val="24"/>
          <w:szCs w:val="24"/>
        </w:rPr>
        <w:t>存储与计算分离架构，需要配置独立的网络、存储和计算节点。为了提高系统整体高可用性，需要通过资源冗余的方式达到设计目标，包括存储网络设备的冗余、存储控制器的冗余、存储链路的冗余等，增加了数据中心的建设投资成本。</w:t>
      </w:r>
    </w:p>
    <w:p>
      <w:pPr>
        <w:spacing w:line="360" w:lineRule="auto"/>
        <w:rPr>
          <w:sz w:val="24"/>
          <w:szCs w:val="24"/>
        </w:rPr>
      </w:pPr>
      <w:r>
        <w:rPr>
          <w:rFonts w:hint="eastAsia"/>
          <w:sz w:val="24"/>
          <w:szCs w:val="24"/>
        </w:rPr>
        <w:t>运维</w:t>
      </w:r>
      <w:r>
        <w:rPr>
          <w:sz w:val="24"/>
          <w:szCs w:val="24"/>
        </w:rPr>
        <w:t>成本高：</w:t>
      </w:r>
      <w:r>
        <w:rPr>
          <w:rFonts w:hint="eastAsia"/>
          <w:sz w:val="24"/>
          <w:szCs w:val="24"/>
        </w:rPr>
        <w:t>随着IT规模的不断膨胀，数据中心内的服务器数量、网络复杂程度以及存储容量急剧增长，随之带来的是高昂的硬件成本支出以及运营成本支出（电力、制冷、占地空间、管理人员等），</w:t>
      </w:r>
      <w:r>
        <w:rPr>
          <w:sz w:val="24"/>
          <w:szCs w:val="24"/>
        </w:rPr>
        <w:t>同时，</w:t>
      </w:r>
      <w:r>
        <w:rPr>
          <w:rFonts w:hint="eastAsia"/>
          <w:sz w:val="24"/>
          <w:szCs w:val="24"/>
        </w:rPr>
        <w:t>应用系统的高可靠性严重依赖于硬件提供的RAS（Reliability Availability and Serviceability，可靠性、可用性和可服务性）特性，导致硬件产品规格不断提高，硬件采购成本极为高昂。</w:t>
      </w:r>
    </w:p>
    <w:p>
      <w:pPr>
        <w:pStyle w:val="5"/>
        <w:spacing w:line="360" w:lineRule="auto"/>
        <w:rPr>
          <w:sz w:val="24"/>
          <w:szCs w:val="24"/>
        </w:rPr>
      </w:pPr>
      <w:bookmarkStart w:id="15" w:name="_Toc31704599"/>
      <w:r>
        <w:rPr>
          <w:rFonts w:hint="eastAsia"/>
          <w:sz w:val="24"/>
          <w:szCs w:val="24"/>
        </w:rPr>
        <w:t>业务部署速度缓慢</w:t>
      </w:r>
      <w:bookmarkEnd w:id="15"/>
    </w:p>
    <w:p>
      <w:pPr>
        <w:spacing w:line="360" w:lineRule="auto"/>
        <w:rPr>
          <w:sz w:val="24"/>
          <w:szCs w:val="24"/>
        </w:rPr>
      </w:pPr>
      <w:r>
        <w:rPr>
          <w:rFonts w:hint="eastAsia"/>
          <w:sz w:val="24"/>
          <w:szCs w:val="24"/>
        </w:rPr>
        <w:t>新的服务器、存储设备和网络设备的部署周期较长，整个过程包括方案设计、硬件选型、多厂商采购、分批到货、上架安装、系统集成、网络配置、综合调试、业务部署等环节。一般情况下，这个过程需要的工作量约20～40小时，交付周期约2～5个月，IT系统从提交业务变更请求到进行运营变更之间存在较长的延迟，初期部署效率低。</w:t>
      </w:r>
    </w:p>
    <w:p>
      <w:pPr>
        <w:pStyle w:val="70"/>
        <w:spacing w:after="80" w:line="360" w:lineRule="auto"/>
        <w:jc w:val="both"/>
        <w:rPr>
          <w:sz w:val="24"/>
          <w:szCs w:val="24"/>
          <w:lang w:eastAsia="zh-CN"/>
        </w:rPr>
      </w:pPr>
    </w:p>
    <w:p>
      <w:pPr>
        <w:pStyle w:val="4"/>
        <w:spacing w:line="360" w:lineRule="auto"/>
        <w:rPr>
          <w:sz w:val="24"/>
          <w:szCs w:val="24"/>
        </w:rPr>
      </w:pPr>
      <w:r>
        <w:rPr>
          <w:rFonts w:hint="eastAsia"/>
          <w:sz w:val="24"/>
          <w:szCs w:val="24"/>
        </w:rPr>
        <w:t>全网拓扑设计</w:t>
      </w:r>
    </w:p>
    <w:p>
      <w:pPr>
        <w:spacing w:line="360" w:lineRule="auto"/>
        <w:rPr>
          <w:sz w:val="24"/>
          <w:szCs w:val="24"/>
        </w:rPr>
      </w:pPr>
      <w:r>
        <w:rPr>
          <w:sz w:val="24"/>
          <w:szCs w:val="24"/>
        </w:rPr>
        <w:drawing>
          <wp:inline distT="0" distB="0" distL="0" distR="0">
            <wp:extent cx="5100320" cy="4128770"/>
            <wp:effectExtent l="0" t="0" r="508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105596" cy="4133101"/>
                    </a:xfrm>
                    <a:prstGeom prst="rect">
                      <a:avLst/>
                    </a:prstGeom>
                    <a:noFill/>
                    <a:ln>
                      <a:noFill/>
                    </a:ln>
                  </pic:spPr>
                </pic:pic>
              </a:graphicData>
            </a:graphic>
          </wp:inline>
        </w:drawing>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园区网</w:t>
      </w:r>
      <w:r>
        <w:rPr>
          <w:rFonts w:asciiTheme="minorEastAsia" w:hAnsiTheme="minorEastAsia"/>
          <w:sz w:val="24"/>
          <w:szCs w:val="24"/>
        </w:rPr>
        <w:t>是</w:t>
      </w:r>
      <w:r>
        <w:rPr>
          <w:rFonts w:hint="eastAsia" w:asciiTheme="minorEastAsia" w:hAnsiTheme="minorEastAsia"/>
          <w:sz w:val="24"/>
          <w:szCs w:val="24"/>
        </w:rPr>
        <w:t>企业</w:t>
      </w:r>
      <w:r>
        <w:rPr>
          <w:rFonts w:asciiTheme="minorEastAsia" w:hAnsiTheme="minorEastAsia"/>
          <w:sz w:val="24"/>
          <w:szCs w:val="24"/>
        </w:rPr>
        <w:t>、政</w:t>
      </w:r>
      <w:r>
        <w:rPr>
          <w:rFonts w:hint="eastAsia" w:asciiTheme="minorEastAsia" w:hAnsiTheme="minorEastAsia"/>
          <w:sz w:val="24"/>
          <w:szCs w:val="24"/>
        </w:rPr>
        <w:t>府</w:t>
      </w:r>
      <w:r>
        <w:rPr>
          <w:rFonts w:asciiTheme="minorEastAsia" w:hAnsiTheme="minorEastAsia"/>
          <w:sz w:val="24"/>
          <w:szCs w:val="24"/>
        </w:rPr>
        <w:t>等</w:t>
      </w:r>
      <w:r>
        <w:rPr>
          <w:rFonts w:hint="eastAsia" w:asciiTheme="minorEastAsia" w:hAnsiTheme="minorEastAsia"/>
          <w:sz w:val="24"/>
          <w:szCs w:val="24"/>
        </w:rPr>
        <w:t>机构</w:t>
      </w:r>
      <w:r>
        <w:rPr>
          <w:rFonts w:asciiTheme="minorEastAsia" w:hAnsiTheme="minorEastAsia"/>
          <w:sz w:val="24"/>
          <w:szCs w:val="24"/>
        </w:rPr>
        <w:t>各业</w:t>
      </w:r>
      <w:r>
        <w:rPr>
          <w:rFonts w:hint="eastAsia" w:asciiTheme="minorEastAsia" w:hAnsiTheme="minorEastAsia"/>
          <w:sz w:val="24"/>
          <w:szCs w:val="24"/>
        </w:rPr>
        <w:t>常见</w:t>
      </w:r>
      <w:r>
        <w:rPr>
          <w:rFonts w:asciiTheme="minorEastAsia" w:hAnsiTheme="minorEastAsia"/>
          <w:sz w:val="24"/>
          <w:szCs w:val="24"/>
        </w:rPr>
        <w:t>的</w:t>
      </w:r>
      <w:r>
        <w:rPr>
          <w:rFonts w:hint="eastAsia" w:asciiTheme="minorEastAsia" w:hAnsiTheme="minorEastAsia"/>
          <w:sz w:val="24"/>
          <w:szCs w:val="24"/>
        </w:rPr>
        <w:t>内部</w:t>
      </w:r>
      <w:r>
        <w:rPr>
          <w:rFonts w:asciiTheme="minorEastAsia" w:hAnsiTheme="minorEastAsia"/>
          <w:sz w:val="24"/>
          <w:szCs w:val="24"/>
        </w:rPr>
        <w:t>网络，组网上</w:t>
      </w:r>
      <w:r>
        <w:rPr>
          <w:rFonts w:hint="eastAsia" w:asciiTheme="minorEastAsia" w:hAnsiTheme="minorEastAsia"/>
          <w:sz w:val="24"/>
          <w:szCs w:val="24"/>
        </w:rPr>
        <w:t>需要</w:t>
      </w:r>
      <w:r>
        <w:rPr>
          <w:rFonts w:asciiTheme="minorEastAsia" w:hAnsiTheme="minorEastAsia"/>
          <w:sz w:val="24"/>
          <w:szCs w:val="24"/>
        </w:rPr>
        <w:t>和广域网、数据中心网络相连接，核心是</w:t>
      </w:r>
      <w:r>
        <w:rPr>
          <w:rFonts w:hint="eastAsia" w:asciiTheme="minorEastAsia" w:hAnsiTheme="minorEastAsia"/>
          <w:sz w:val="24"/>
          <w:szCs w:val="24"/>
        </w:rPr>
        <w:t>用户、</w:t>
      </w:r>
      <w:r>
        <w:rPr>
          <w:rFonts w:asciiTheme="minorEastAsia" w:hAnsiTheme="minorEastAsia"/>
          <w:sz w:val="24"/>
          <w:szCs w:val="24"/>
        </w:rPr>
        <w:t>访客、合作伙伴</w:t>
      </w:r>
      <w:r>
        <w:rPr>
          <w:rFonts w:hint="eastAsia" w:asciiTheme="minorEastAsia" w:hAnsiTheme="minorEastAsia"/>
          <w:sz w:val="24"/>
          <w:szCs w:val="24"/>
        </w:rPr>
        <w:t>等</w:t>
      </w:r>
      <w:r>
        <w:rPr>
          <w:rFonts w:asciiTheme="minorEastAsia" w:hAnsiTheme="minorEastAsia"/>
          <w:sz w:val="24"/>
          <w:szCs w:val="24"/>
        </w:rPr>
        <w:t>网络接入、数据交换和</w:t>
      </w:r>
      <w:r>
        <w:rPr>
          <w:rFonts w:hint="eastAsia" w:asciiTheme="minorEastAsia" w:hAnsiTheme="minorEastAsia"/>
          <w:sz w:val="24"/>
          <w:szCs w:val="24"/>
        </w:rPr>
        <w:t>安全</w:t>
      </w:r>
      <w:r>
        <w:rPr>
          <w:rFonts w:asciiTheme="minorEastAsia" w:hAnsiTheme="minorEastAsia"/>
          <w:sz w:val="24"/>
          <w:szCs w:val="24"/>
        </w:rPr>
        <w:t>隔离等需求的实现。一般</w:t>
      </w:r>
      <w:r>
        <w:rPr>
          <w:rFonts w:hint="eastAsia"/>
          <w:sz w:val="24"/>
          <w:szCs w:val="24"/>
        </w:rPr>
        <w:t>对于园区网而言，注重的是网络的简单可靠、易部署、易维护。因此在园区网中，拓扑结构通常以星型结构为主，</w:t>
      </w:r>
      <w:r>
        <w:rPr>
          <w:sz w:val="24"/>
          <w:szCs w:val="24"/>
        </w:rPr>
        <w:t>主要遵循以下的原则进行网络设计：</w:t>
      </w:r>
    </w:p>
    <w:p>
      <w:pPr>
        <w:pStyle w:val="129"/>
        <w:numPr>
          <w:ilvl w:val="0"/>
          <w:numId w:val="10"/>
        </w:numPr>
        <w:spacing w:line="360" w:lineRule="auto"/>
        <w:ind w:firstLineChars="0"/>
        <w:rPr>
          <w:rFonts w:asciiTheme="minorEastAsia" w:hAnsiTheme="minorEastAsia"/>
          <w:sz w:val="24"/>
          <w:szCs w:val="24"/>
        </w:rPr>
      </w:pPr>
      <w:r>
        <w:rPr>
          <w:rFonts w:hint="eastAsia" w:asciiTheme="minorEastAsia" w:hAnsiTheme="minorEastAsia"/>
          <w:sz w:val="24"/>
          <w:szCs w:val="24"/>
        </w:rPr>
        <w:t>实用性原则：主要体现在以下方面：以现行需求为基础，适当考虑发展的需要为依据来确定系统规模；选择成熟、先进、维护量小、使用方便的技术设备和措施；创造一个开放的网络平台。</w:t>
      </w:r>
    </w:p>
    <w:p>
      <w:pPr>
        <w:pStyle w:val="129"/>
        <w:numPr>
          <w:ilvl w:val="0"/>
          <w:numId w:val="10"/>
        </w:numPr>
        <w:spacing w:line="360" w:lineRule="auto"/>
        <w:ind w:firstLineChars="0"/>
        <w:rPr>
          <w:rFonts w:asciiTheme="minorEastAsia" w:hAnsiTheme="minorEastAsia"/>
          <w:sz w:val="24"/>
          <w:szCs w:val="24"/>
        </w:rPr>
      </w:pPr>
      <w:r>
        <w:rPr>
          <w:rFonts w:hint="eastAsia" w:asciiTheme="minorEastAsia" w:hAnsiTheme="minorEastAsia"/>
          <w:sz w:val="24"/>
          <w:szCs w:val="24"/>
        </w:rPr>
        <w:t>安全性原则：</w:t>
      </w:r>
      <w:r>
        <w:rPr>
          <w:rFonts w:asciiTheme="minorEastAsia" w:hAnsiTheme="minorEastAsia"/>
          <w:sz w:val="24"/>
          <w:szCs w:val="24"/>
        </w:rPr>
        <w:t>网络系统提供多种有效的安全控制机制，以防止机密泄露和影响正常工作。</w:t>
      </w:r>
      <w:r>
        <w:rPr>
          <w:rFonts w:hint="eastAsia" w:asciiTheme="minorEastAsia" w:hAnsiTheme="minorEastAsia"/>
          <w:sz w:val="24"/>
          <w:szCs w:val="24"/>
        </w:rPr>
        <w:t>有线无线</w:t>
      </w:r>
      <w:r>
        <w:rPr>
          <w:rFonts w:asciiTheme="minorEastAsia" w:hAnsiTheme="minorEastAsia"/>
          <w:sz w:val="24"/>
          <w:szCs w:val="24"/>
        </w:rPr>
        <w:t>网络系统应提供一套完整的安全防范措施，能够有效地防止系统外部人员的非法侵入。</w:t>
      </w:r>
    </w:p>
    <w:p>
      <w:pPr>
        <w:pStyle w:val="129"/>
        <w:numPr>
          <w:ilvl w:val="0"/>
          <w:numId w:val="10"/>
        </w:numPr>
        <w:spacing w:line="360" w:lineRule="auto"/>
        <w:ind w:firstLineChars="0"/>
        <w:rPr>
          <w:rFonts w:asciiTheme="minorEastAsia" w:hAnsiTheme="minorEastAsia"/>
          <w:sz w:val="24"/>
          <w:szCs w:val="24"/>
        </w:rPr>
      </w:pPr>
      <w:r>
        <w:rPr>
          <w:rFonts w:hint="eastAsia" w:asciiTheme="minorEastAsia" w:hAnsiTheme="minorEastAsia"/>
          <w:sz w:val="24"/>
          <w:szCs w:val="24"/>
        </w:rPr>
        <w:t>可靠性原则：系统设计能有效的避免单点失败，在设备的选择和关键设备的互联时，应提供充分的冗余备份，一方面最大限度地减少故障的可能性，另一方面要保证网络能在最短时间内修复。</w:t>
      </w:r>
    </w:p>
    <w:p>
      <w:pPr>
        <w:pStyle w:val="129"/>
        <w:numPr>
          <w:ilvl w:val="0"/>
          <w:numId w:val="10"/>
        </w:numPr>
        <w:spacing w:line="360" w:lineRule="auto"/>
        <w:ind w:firstLineChars="0"/>
        <w:rPr>
          <w:rFonts w:asciiTheme="minorEastAsia" w:hAnsiTheme="minorEastAsia"/>
          <w:sz w:val="24"/>
          <w:szCs w:val="24"/>
        </w:rPr>
      </w:pPr>
      <w:r>
        <w:rPr>
          <w:rFonts w:hint="eastAsia" w:asciiTheme="minorEastAsia" w:hAnsiTheme="minorEastAsia"/>
          <w:sz w:val="24"/>
          <w:szCs w:val="24"/>
        </w:rPr>
        <w:t>成熟和先进性原则：根据网络应用及重要性，设计时将必需使用成熟商用和领先的先进技术，保证网络与业务的可靠性。</w:t>
      </w:r>
    </w:p>
    <w:p>
      <w:pPr>
        <w:pStyle w:val="129"/>
        <w:numPr>
          <w:ilvl w:val="0"/>
          <w:numId w:val="10"/>
        </w:numPr>
        <w:spacing w:line="360" w:lineRule="auto"/>
        <w:ind w:firstLineChars="0"/>
        <w:rPr>
          <w:rFonts w:asciiTheme="minorEastAsia" w:hAnsiTheme="minorEastAsia"/>
          <w:sz w:val="24"/>
          <w:szCs w:val="24"/>
        </w:rPr>
      </w:pPr>
      <w:r>
        <w:rPr>
          <w:rFonts w:hint="eastAsia" w:asciiTheme="minorEastAsia" w:hAnsiTheme="minorEastAsia"/>
          <w:sz w:val="24"/>
          <w:szCs w:val="24"/>
        </w:rPr>
        <w:t>规范性原则：系统设计所采用的技术和设备应符合国际通用标准，为系统的扩展升级、与其他系统的互联提供良好的基础。</w:t>
      </w:r>
    </w:p>
    <w:p>
      <w:pPr>
        <w:pStyle w:val="129"/>
        <w:numPr>
          <w:ilvl w:val="0"/>
          <w:numId w:val="10"/>
        </w:numPr>
        <w:spacing w:line="360" w:lineRule="auto"/>
        <w:ind w:firstLineChars="0"/>
        <w:rPr>
          <w:rFonts w:asciiTheme="minorEastAsia" w:hAnsiTheme="minorEastAsia"/>
          <w:sz w:val="24"/>
          <w:szCs w:val="24"/>
        </w:rPr>
      </w:pPr>
      <w:r>
        <w:rPr>
          <w:rFonts w:hint="eastAsia" w:asciiTheme="minorEastAsia" w:hAnsiTheme="minorEastAsia"/>
          <w:sz w:val="24"/>
          <w:szCs w:val="24"/>
        </w:rPr>
        <w:t>开放性和标准化原则：在设计时，要求提供开放性好、标准化程度高的技术方案；设备的各种接口满足开放和标准化原则。</w:t>
      </w:r>
    </w:p>
    <w:p>
      <w:pPr>
        <w:pStyle w:val="129"/>
        <w:numPr>
          <w:ilvl w:val="0"/>
          <w:numId w:val="10"/>
        </w:numPr>
        <w:spacing w:line="360" w:lineRule="auto"/>
        <w:ind w:firstLineChars="0"/>
        <w:rPr>
          <w:rFonts w:asciiTheme="minorEastAsia" w:hAnsiTheme="minorEastAsia"/>
          <w:sz w:val="24"/>
          <w:szCs w:val="24"/>
        </w:rPr>
      </w:pPr>
      <w:r>
        <w:rPr>
          <w:rFonts w:hint="eastAsia" w:asciiTheme="minorEastAsia" w:hAnsiTheme="minorEastAsia"/>
          <w:sz w:val="24"/>
          <w:szCs w:val="24"/>
        </w:rPr>
        <w:t>可扩充和扩展化原则：所有系统设备不但满足当前需要，并在扩充模块后满足可预见将来需求，如带宽和设备的扩展，应用的扩展等。保证建设完成后的系统在向新的技术升级时，能保护现有的投资。</w:t>
      </w:r>
    </w:p>
    <w:p>
      <w:pPr>
        <w:pStyle w:val="129"/>
        <w:numPr>
          <w:ilvl w:val="0"/>
          <w:numId w:val="10"/>
        </w:numPr>
        <w:spacing w:line="360" w:lineRule="auto"/>
        <w:ind w:firstLineChars="0"/>
        <w:rPr>
          <w:rFonts w:asciiTheme="minorEastAsia" w:hAnsiTheme="minorEastAsia"/>
          <w:sz w:val="24"/>
          <w:szCs w:val="24"/>
        </w:rPr>
      </w:pPr>
      <w:r>
        <w:rPr>
          <w:rFonts w:hint="eastAsia" w:asciiTheme="minorEastAsia" w:hAnsiTheme="minorEastAsia"/>
          <w:sz w:val="24"/>
          <w:szCs w:val="24"/>
        </w:rPr>
        <w:t>可管理性原则：整个系统的设备应易于管理，易于维护，操作简单，易学，易用，便于进行系统配置，在设备、安全性、数据流量、性能等方面得到很好的监视和控制，并可以进行远程管理和故障诊断。</w:t>
      </w:r>
    </w:p>
    <w:p>
      <w:pPr>
        <w:pStyle w:val="5"/>
        <w:spacing w:line="360" w:lineRule="auto"/>
        <w:rPr>
          <w:sz w:val="24"/>
          <w:szCs w:val="24"/>
        </w:rPr>
      </w:pPr>
      <w:bookmarkStart w:id="16" w:name="_Toc15300421"/>
      <w:bookmarkStart w:id="17" w:name="_Toc15300414"/>
      <w:bookmarkStart w:id="18" w:name="_Toc14354823"/>
      <w:r>
        <w:rPr>
          <w:rFonts w:hint="eastAsia"/>
          <w:sz w:val="24"/>
          <w:szCs w:val="24"/>
        </w:rPr>
        <w:t>总体</w:t>
      </w:r>
      <w:r>
        <w:rPr>
          <w:sz w:val="24"/>
          <w:szCs w:val="24"/>
        </w:rPr>
        <w:t>设计</w:t>
      </w:r>
      <w:r>
        <w:rPr>
          <w:rFonts w:hint="eastAsia"/>
          <w:sz w:val="24"/>
          <w:szCs w:val="24"/>
        </w:rPr>
        <w:t>原则</w:t>
      </w:r>
      <w:bookmarkEnd w:id="16"/>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园区</w:t>
      </w:r>
      <w:r>
        <w:rPr>
          <w:rFonts w:asciiTheme="minorEastAsia" w:hAnsiTheme="minorEastAsia"/>
          <w:sz w:val="24"/>
          <w:szCs w:val="24"/>
        </w:rPr>
        <w:t>网络的</w:t>
      </w:r>
      <w:r>
        <w:rPr>
          <w:rFonts w:hint="eastAsia" w:asciiTheme="minorEastAsia" w:hAnsiTheme="minorEastAsia"/>
          <w:sz w:val="24"/>
          <w:szCs w:val="24"/>
        </w:rPr>
        <w:t>核心层交换机承载着整网的内部数据交换，主要任务是把大量来自接入层的</w:t>
      </w:r>
      <w:r>
        <w:rPr>
          <w:rFonts w:asciiTheme="minorEastAsia" w:hAnsiTheme="minorEastAsia"/>
          <w:sz w:val="24"/>
          <w:szCs w:val="24"/>
        </w:rPr>
        <w:t>数据进行</w:t>
      </w:r>
      <w:r>
        <w:rPr>
          <w:rFonts w:hint="eastAsia" w:asciiTheme="minorEastAsia" w:hAnsiTheme="minorEastAsia"/>
          <w:sz w:val="24"/>
          <w:szCs w:val="24"/>
        </w:rPr>
        <w:t>汇聚和集中，承担路由聚合和访问控制的任务。作为整个园区</w:t>
      </w:r>
      <w:r>
        <w:rPr>
          <w:rFonts w:asciiTheme="minorEastAsia" w:hAnsiTheme="minorEastAsia"/>
          <w:sz w:val="24"/>
          <w:szCs w:val="24"/>
        </w:rPr>
        <w:t>的核心，</w:t>
      </w:r>
      <w:r>
        <w:rPr>
          <w:rFonts w:hint="eastAsia" w:asciiTheme="minorEastAsia" w:hAnsiTheme="minorEastAsia"/>
          <w:sz w:val="24"/>
          <w:szCs w:val="24"/>
        </w:rPr>
        <w:t>除了</w:t>
      </w:r>
      <w:r>
        <w:rPr>
          <w:rFonts w:asciiTheme="minorEastAsia" w:hAnsiTheme="minorEastAsia"/>
          <w:sz w:val="24"/>
          <w:szCs w:val="24"/>
        </w:rPr>
        <w:t>需要考虑性能外，也</w:t>
      </w:r>
      <w:r>
        <w:rPr>
          <w:rFonts w:hint="eastAsia" w:asciiTheme="minorEastAsia" w:hAnsiTheme="minorEastAsia"/>
          <w:sz w:val="24"/>
          <w:szCs w:val="24"/>
        </w:rPr>
        <w:t>需要</w:t>
      </w:r>
      <w:r>
        <w:rPr>
          <w:rFonts w:asciiTheme="minorEastAsia" w:hAnsiTheme="minorEastAsia"/>
          <w:sz w:val="24"/>
          <w:szCs w:val="24"/>
        </w:rPr>
        <w:t>考虑</w:t>
      </w:r>
      <w:r>
        <w:rPr>
          <w:rFonts w:hint="eastAsia" w:asciiTheme="minorEastAsia" w:hAnsiTheme="minorEastAsia"/>
          <w:sz w:val="24"/>
          <w:szCs w:val="24"/>
        </w:rPr>
        <w:t>稳定性</w:t>
      </w:r>
      <w:r>
        <w:rPr>
          <w:rFonts w:asciiTheme="minorEastAsia" w:hAnsiTheme="minorEastAsia"/>
          <w:sz w:val="24"/>
          <w:szCs w:val="24"/>
        </w:rPr>
        <w:t>及可靠</w:t>
      </w:r>
      <w:r>
        <w:rPr>
          <w:rFonts w:hint="eastAsia" w:asciiTheme="minorEastAsia" w:hAnsiTheme="minorEastAsia"/>
          <w:sz w:val="24"/>
          <w:szCs w:val="24"/>
        </w:rPr>
        <w:t>性。总体</w:t>
      </w:r>
      <w:r>
        <w:rPr>
          <w:rFonts w:asciiTheme="minorEastAsia" w:hAnsiTheme="minorEastAsia"/>
          <w:sz w:val="24"/>
          <w:szCs w:val="24"/>
        </w:rPr>
        <w:t>来讲，</w:t>
      </w:r>
      <w:r>
        <w:rPr>
          <w:rFonts w:hint="eastAsia" w:asciiTheme="minorEastAsia" w:hAnsiTheme="minorEastAsia"/>
          <w:sz w:val="24"/>
          <w:szCs w:val="24"/>
        </w:rPr>
        <w:t>核心区域设计需要</w:t>
      </w:r>
      <w:r>
        <w:rPr>
          <w:rFonts w:asciiTheme="minorEastAsia" w:hAnsiTheme="minorEastAsia"/>
          <w:sz w:val="24"/>
          <w:szCs w:val="24"/>
        </w:rPr>
        <w:t>满足</w:t>
      </w:r>
      <w:r>
        <w:rPr>
          <w:rFonts w:hint="eastAsia" w:asciiTheme="minorEastAsia" w:hAnsiTheme="minorEastAsia"/>
          <w:sz w:val="24"/>
          <w:szCs w:val="24"/>
        </w:rPr>
        <w:t>以下</w:t>
      </w:r>
      <w:r>
        <w:rPr>
          <w:rFonts w:asciiTheme="minorEastAsia" w:hAnsiTheme="minorEastAsia"/>
          <w:sz w:val="24"/>
          <w:szCs w:val="24"/>
        </w:rPr>
        <w:t>几个原则：</w:t>
      </w:r>
    </w:p>
    <w:p>
      <w:pPr>
        <w:pStyle w:val="129"/>
        <w:numPr>
          <w:ilvl w:val="0"/>
          <w:numId w:val="11"/>
        </w:numPr>
        <w:topLinePunct/>
        <w:adjustRightInd w:val="0"/>
        <w:snapToGrid w:val="0"/>
        <w:spacing w:before="120" w:after="120" w:line="360" w:lineRule="auto"/>
        <w:ind w:firstLineChars="0"/>
        <w:jc w:val="left"/>
        <w:rPr>
          <w:sz w:val="24"/>
          <w:szCs w:val="24"/>
        </w:rPr>
      </w:pPr>
      <w:r>
        <w:rPr>
          <w:rFonts w:hint="eastAsia"/>
          <w:sz w:val="24"/>
          <w:szCs w:val="24"/>
        </w:rPr>
        <w:t>层次化原则：核心层、汇聚层、接入层，每层功能清晰，架构稳定，易于扩展和维护。</w:t>
      </w:r>
    </w:p>
    <w:p>
      <w:pPr>
        <w:pStyle w:val="129"/>
        <w:numPr>
          <w:ilvl w:val="0"/>
          <w:numId w:val="11"/>
        </w:numPr>
        <w:topLinePunct/>
        <w:adjustRightInd w:val="0"/>
        <w:snapToGrid w:val="0"/>
        <w:spacing w:before="120" w:after="120" w:line="360" w:lineRule="auto"/>
        <w:ind w:firstLineChars="0"/>
        <w:jc w:val="left"/>
        <w:rPr>
          <w:sz w:val="24"/>
          <w:szCs w:val="24"/>
        </w:rPr>
      </w:pPr>
      <w:r>
        <w:rPr>
          <w:rFonts w:hint="eastAsia"/>
          <w:sz w:val="24"/>
          <w:szCs w:val="24"/>
        </w:rPr>
        <w:t>模块化原则：每一个部门一个模块，部门内部调整涉及范围小，定位问题也容易。</w:t>
      </w:r>
    </w:p>
    <w:p>
      <w:pPr>
        <w:pStyle w:val="129"/>
        <w:numPr>
          <w:ilvl w:val="0"/>
          <w:numId w:val="11"/>
        </w:numPr>
        <w:topLinePunct/>
        <w:adjustRightInd w:val="0"/>
        <w:snapToGrid w:val="0"/>
        <w:spacing w:before="120" w:after="120" w:line="360" w:lineRule="auto"/>
        <w:ind w:firstLineChars="0"/>
        <w:jc w:val="left"/>
        <w:rPr>
          <w:sz w:val="24"/>
          <w:szCs w:val="24"/>
        </w:rPr>
      </w:pPr>
      <w:r>
        <w:rPr>
          <w:rFonts w:hint="eastAsia"/>
          <w:sz w:val="24"/>
          <w:szCs w:val="24"/>
        </w:rPr>
        <w:t>可靠性</w:t>
      </w:r>
      <w:r>
        <w:rPr>
          <w:sz w:val="24"/>
          <w:szCs w:val="24"/>
        </w:rPr>
        <w:t>原则</w:t>
      </w:r>
      <w:r>
        <w:rPr>
          <w:rFonts w:hint="eastAsia"/>
          <w:sz w:val="24"/>
          <w:szCs w:val="24"/>
        </w:rPr>
        <w:t>：双节点冗余性设计，适当的冗余性提高可靠性。</w:t>
      </w:r>
    </w:p>
    <w:p>
      <w:pPr>
        <w:spacing w:line="360" w:lineRule="auto"/>
        <w:ind w:firstLine="720" w:firstLineChars="300"/>
        <w:rPr>
          <w:rFonts w:asciiTheme="minorEastAsia" w:hAnsiTheme="minorEastAsia"/>
          <w:sz w:val="24"/>
          <w:szCs w:val="24"/>
        </w:rPr>
      </w:pPr>
      <w:r>
        <w:rPr>
          <w:rFonts w:hint="eastAsia" w:asciiTheme="minorEastAsia" w:hAnsiTheme="minorEastAsia"/>
          <w:sz w:val="24"/>
          <w:szCs w:val="24"/>
        </w:rPr>
        <w:t>核心层需要采用全连接结构，保持核心层设备的配置尽量简单，并且和业务部门无关。核心层设备需要具有高带宽、高转发性能。核心设备支持</w:t>
      </w:r>
      <w:r>
        <w:rPr>
          <w:rFonts w:asciiTheme="minorEastAsia" w:hAnsiTheme="minorEastAsia"/>
          <w:sz w:val="24"/>
          <w:szCs w:val="24"/>
        </w:rPr>
        <w:t>双机互联，核心汇聚之间</w:t>
      </w:r>
      <w:r>
        <w:rPr>
          <w:rFonts w:hint="eastAsia" w:asciiTheme="minorEastAsia" w:hAnsiTheme="minorEastAsia"/>
          <w:sz w:val="24"/>
          <w:szCs w:val="24"/>
        </w:rPr>
        <w:t>建议</w:t>
      </w:r>
      <w:r>
        <w:rPr>
          <w:rFonts w:asciiTheme="minorEastAsia" w:hAnsiTheme="minorEastAsia"/>
          <w:sz w:val="24"/>
          <w:szCs w:val="24"/>
        </w:rPr>
        <w:t>采用</w:t>
      </w:r>
      <w:r>
        <w:rPr>
          <w:rFonts w:hint="eastAsia" w:asciiTheme="minorEastAsia" w:hAnsiTheme="minorEastAsia"/>
          <w:sz w:val="24"/>
          <w:szCs w:val="24"/>
        </w:rPr>
        <w:t>万兆/千兆</w:t>
      </w:r>
      <w:r>
        <w:rPr>
          <w:rFonts w:asciiTheme="minorEastAsia" w:hAnsiTheme="minorEastAsia"/>
          <w:sz w:val="24"/>
          <w:szCs w:val="24"/>
        </w:rPr>
        <w:t>光纤连接</w:t>
      </w:r>
      <w:r>
        <w:rPr>
          <w:rFonts w:hint="eastAsia" w:asciiTheme="minorEastAsia" w:hAnsiTheme="minorEastAsia"/>
          <w:sz w:val="24"/>
          <w:szCs w:val="24"/>
        </w:rPr>
        <w:t>。在两台核心设备之间我们建议采用H3C特有的IRF2（多虚一）弹性智能堆叠技术，使2台设备从逻辑上虚拟成一套设备。通过堆叠后不仅提高了设备的整体性能，也提高了链路的高可靠性、增加链路带宽、保证设备了数据的可靠性传输。</w:t>
      </w:r>
    </w:p>
    <w:p>
      <w:pPr>
        <w:pStyle w:val="6"/>
        <w:spacing w:line="360" w:lineRule="auto"/>
        <w:rPr>
          <w:szCs w:val="24"/>
        </w:rPr>
      </w:pPr>
      <w:bookmarkStart w:id="19" w:name="_Toc15300422"/>
      <w:r>
        <w:rPr>
          <w:rFonts w:hint="eastAsia"/>
          <w:szCs w:val="24"/>
        </w:rPr>
        <w:t>网络逻辑</w:t>
      </w:r>
      <w:r>
        <w:rPr>
          <w:szCs w:val="24"/>
        </w:rPr>
        <w:t>架构</w:t>
      </w:r>
      <w:bookmarkEnd w:id="19"/>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园区</w:t>
      </w:r>
      <w:r>
        <w:rPr>
          <w:rFonts w:asciiTheme="minorEastAsia" w:hAnsiTheme="minorEastAsia"/>
          <w:sz w:val="24"/>
          <w:szCs w:val="24"/>
        </w:rPr>
        <w:t>网</w:t>
      </w:r>
      <w:r>
        <w:rPr>
          <w:rFonts w:hint="eastAsia" w:asciiTheme="minorEastAsia" w:hAnsiTheme="minorEastAsia"/>
          <w:sz w:val="24"/>
          <w:szCs w:val="24"/>
        </w:rPr>
        <w:t>是</w:t>
      </w:r>
      <w:r>
        <w:rPr>
          <w:rFonts w:asciiTheme="minorEastAsia" w:hAnsiTheme="minorEastAsia"/>
          <w:sz w:val="24"/>
          <w:szCs w:val="24"/>
        </w:rPr>
        <w:t>业务承载网，</w:t>
      </w:r>
      <w:r>
        <w:rPr>
          <w:rFonts w:hint="eastAsia" w:asciiTheme="minorEastAsia" w:hAnsiTheme="minorEastAsia"/>
          <w:sz w:val="24"/>
          <w:szCs w:val="24"/>
        </w:rPr>
        <w:t>满足用户</w:t>
      </w:r>
      <w:r>
        <w:rPr>
          <w:rFonts w:asciiTheme="minorEastAsia" w:hAnsiTheme="minorEastAsia"/>
          <w:sz w:val="24"/>
          <w:szCs w:val="24"/>
        </w:rPr>
        <w:t>、终端与业务系统之间的互联，</w:t>
      </w:r>
      <w:r>
        <w:rPr>
          <w:rFonts w:hint="eastAsia" w:asciiTheme="minorEastAsia" w:hAnsiTheme="minorEastAsia"/>
          <w:sz w:val="24"/>
          <w:szCs w:val="24"/>
        </w:rPr>
        <w:t>根据</w:t>
      </w:r>
      <w:r>
        <w:rPr>
          <w:rFonts w:asciiTheme="minorEastAsia" w:hAnsiTheme="minorEastAsia"/>
          <w:sz w:val="24"/>
          <w:szCs w:val="24"/>
        </w:rPr>
        <w:t>模块化设计的园区，园区网</w:t>
      </w:r>
      <w:r>
        <w:rPr>
          <w:rFonts w:hint="eastAsia" w:asciiTheme="minorEastAsia" w:hAnsiTheme="minorEastAsia"/>
          <w:sz w:val="24"/>
          <w:szCs w:val="24"/>
        </w:rPr>
        <w:t>分为</w:t>
      </w:r>
      <w:r>
        <w:rPr>
          <w:rFonts w:asciiTheme="minorEastAsia" w:hAnsiTheme="minorEastAsia"/>
          <w:sz w:val="24"/>
          <w:szCs w:val="24"/>
        </w:rPr>
        <w:t>园区内部网络和园区外部网络，外部网络主要提供广域网互联、Internet互联、合作伙伴、移动办公、分支互联</w:t>
      </w:r>
      <w:r>
        <w:rPr>
          <w:rFonts w:hint="eastAsia" w:asciiTheme="minorEastAsia" w:hAnsiTheme="minorEastAsia"/>
          <w:sz w:val="24"/>
          <w:szCs w:val="24"/>
        </w:rPr>
        <w:t>以及</w:t>
      </w:r>
      <w:r>
        <w:rPr>
          <w:rFonts w:asciiTheme="minorEastAsia" w:hAnsiTheme="minorEastAsia"/>
          <w:sz w:val="24"/>
          <w:szCs w:val="24"/>
        </w:rPr>
        <w:t>访客的接入。园区</w:t>
      </w:r>
      <w:r>
        <w:rPr>
          <w:rFonts w:hint="eastAsia" w:asciiTheme="minorEastAsia" w:hAnsiTheme="minorEastAsia"/>
          <w:sz w:val="24"/>
          <w:szCs w:val="24"/>
        </w:rPr>
        <w:t>内部</w:t>
      </w:r>
      <w:r>
        <w:rPr>
          <w:rFonts w:asciiTheme="minorEastAsia" w:hAnsiTheme="minorEastAsia"/>
          <w:sz w:val="24"/>
          <w:szCs w:val="24"/>
        </w:rPr>
        <w:t>网络根据逻辑功能主要分为</w:t>
      </w:r>
      <w:r>
        <w:rPr>
          <w:rFonts w:hint="eastAsia" w:asciiTheme="minorEastAsia" w:hAnsiTheme="minorEastAsia"/>
          <w:sz w:val="24"/>
          <w:szCs w:val="24"/>
        </w:rPr>
        <w:t>五个模块</w:t>
      </w:r>
      <w:r>
        <w:rPr>
          <w:rFonts w:asciiTheme="minorEastAsia" w:hAnsiTheme="minorEastAsia"/>
          <w:sz w:val="24"/>
          <w:szCs w:val="24"/>
        </w:rPr>
        <w:t>和两个区域。</w:t>
      </w:r>
      <w:r>
        <w:rPr>
          <w:rFonts w:hint="eastAsia" w:asciiTheme="minorEastAsia" w:hAnsiTheme="minorEastAsia"/>
          <w:sz w:val="24"/>
          <w:szCs w:val="24"/>
        </w:rPr>
        <w:t>参见</w:t>
      </w:r>
      <w:r>
        <w:rPr>
          <w:rFonts w:asciiTheme="minorEastAsia" w:hAnsiTheme="minorEastAsia"/>
          <w:sz w:val="24"/>
          <w:szCs w:val="24"/>
        </w:rPr>
        <w:t>下图：</w:t>
      </w:r>
    </w:p>
    <w:p>
      <w:pPr>
        <w:spacing w:line="360" w:lineRule="auto"/>
        <w:ind w:firstLine="480" w:firstLineChars="200"/>
        <w:jc w:val="center"/>
        <w:rPr>
          <w:sz w:val="24"/>
          <w:szCs w:val="24"/>
        </w:rPr>
      </w:pPr>
      <w:r>
        <w:rPr>
          <w:sz w:val="24"/>
          <w:szCs w:val="24"/>
        </w:rPr>
        <w:drawing>
          <wp:inline distT="0" distB="0" distL="0" distR="0">
            <wp:extent cx="5399405" cy="291846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3"/>
                    <a:stretch>
                      <a:fillRect/>
                    </a:stretch>
                  </pic:blipFill>
                  <pic:spPr>
                    <a:xfrm>
                      <a:off x="0" y="0"/>
                      <a:ext cx="5400000" cy="2919048"/>
                    </a:xfrm>
                    <a:prstGeom prst="rect">
                      <a:avLst/>
                    </a:prstGeom>
                  </pic:spPr>
                </pic:pic>
              </a:graphicData>
            </a:graphic>
          </wp:inline>
        </w:drawing>
      </w:r>
    </w:p>
    <w:p>
      <w:pPr>
        <w:spacing w:line="360" w:lineRule="auto"/>
        <w:ind w:firstLine="480" w:firstLineChars="200"/>
        <w:jc w:val="center"/>
        <w:rPr>
          <w:sz w:val="24"/>
          <w:szCs w:val="24"/>
        </w:rPr>
      </w:pPr>
      <w:r>
        <w:rPr>
          <w:rFonts w:hint="eastAsia"/>
          <w:sz w:val="24"/>
          <w:szCs w:val="24"/>
        </w:rPr>
        <w:t>图1园区网络</w:t>
      </w:r>
      <w:r>
        <w:rPr>
          <w:sz w:val="24"/>
          <w:szCs w:val="24"/>
        </w:rPr>
        <w:t>逻辑结构</w:t>
      </w:r>
      <w:r>
        <w:rPr>
          <w:rFonts w:hint="eastAsia"/>
          <w:sz w:val="24"/>
          <w:szCs w:val="24"/>
        </w:rPr>
        <w:t>示意图</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园区内部</w:t>
      </w:r>
      <w:r>
        <w:rPr>
          <w:rFonts w:asciiTheme="minorEastAsia" w:hAnsiTheme="minorEastAsia"/>
          <w:sz w:val="24"/>
          <w:szCs w:val="24"/>
        </w:rPr>
        <w:t>网络根据逻辑结构</w:t>
      </w:r>
      <w:r>
        <w:rPr>
          <w:rFonts w:hint="eastAsia" w:asciiTheme="minorEastAsia" w:hAnsiTheme="minorEastAsia"/>
          <w:sz w:val="24"/>
          <w:szCs w:val="24"/>
        </w:rPr>
        <w:t>从</w:t>
      </w:r>
      <w:r>
        <w:rPr>
          <w:rFonts w:asciiTheme="minorEastAsia" w:hAnsiTheme="minorEastAsia"/>
          <w:sz w:val="24"/>
          <w:szCs w:val="24"/>
        </w:rPr>
        <w:t>上往</w:t>
      </w:r>
      <w:r>
        <w:rPr>
          <w:rFonts w:hint="eastAsia" w:asciiTheme="minorEastAsia" w:hAnsiTheme="minorEastAsia"/>
          <w:sz w:val="24"/>
          <w:szCs w:val="24"/>
        </w:rPr>
        <w:t>下</w:t>
      </w:r>
      <w:r>
        <w:rPr>
          <w:rFonts w:asciiTheme="minorEastAsia" w:hAnsiTheme="minorEastAsia"/>
          <w:sz w:val="24"/>
          <w:szCs w:val="24"/>
        </w:rPr>
        <w:t>分为五个层次：</w:t>
      </w:r>
    </w:p>
    <w:p>
      <w:pPr>
        <w:pStyle w:val="129"/>
        <w:numPr>
          <w:ilvl w:val="0"/>
          <w:numId w:val="11"/>
        </w:numPr>
        <w:topLinePunct/>
        <w:adjustRightInd w:val="0"/>
        <w:snapToGrid w:val="0"/>
        <w:spacing w:before="120" w:after="120" w:line="360" w:lineRule="auto"/>
        <w:ind w:firstLineChars="0"/>
        <w:jc w:val="left"/>
        <w:rPr>
          <w:sz w:val="24"/>
          <w:szCs w:val="24"/>
        </w:rPr>
      </w:pPr>
      <w:r>
        <w:rPr>
          <w:rFonts w:hint="eastAsia"/>
          <w:sz w:val="24"/>
          <w:szCs w:val="24"/>
        </w:rPr>
        <w:t>园区出口层</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园区出口是园区网络到外部公网的边界，园区网的内部用户通过园区出口</w:t>
      </w:r>
      <w:r>
        <w:rPr>
          <w:rFonts w:asciiTheme="minorEastAsia" w:hAnsiTheme="minorEastAsia"/>
          <w:sz w:val="24"/>
          <w:szCs w:val="24"/>
        </w:rPr>
        <w:t>设备</w:t>
      </w:r>
      <w:r>
        <w:rPr>
          <w:rFonts w:hint="eastAsia" w:asciiTheme="minorEastAsia" w:hAnsiTheme="minorEastAsia"/>
          <w:sz w:val="24"/>
          <w:szCs w:val="24"/>
        </w:rPr>
        <w:t>接入到互联网</w:t>
      </w:r>
      <w:r>
        <w:rPr>
          <w:rFonts w:asciiTheme="minorEastAsia" w:hAnsiTheme="minorEastAsia"/>
          <w:sz w:val="24"/>
          <w:szCs w:val="24"/>
        </w:rPr>
        <w:t>、分支机构</w:t>
      </w:r>
      <w:r>
        <w:rPr>
          <w:rFonts w:hint="eastAsia" w:asciiTheme="minorEastAsia" w:hAnsiTheme="minorEastAsia"/>
          <w:sz w:val="24"/>
          <w:szCs w:val="24"/>
        </w:rPr>
        <w:t>以及</w:t>
      </w:r>
      <w:r>
        <w:rPr>
          <w:rFonts w:asciiTheme="minorEastAsia" w:hAnsiTheme="minorEastAsia"/>
          <w:sz w:val="24"/>
          <w:szCs w:val="24"/>
        </w:rPr>
        <w:t>企业</w:t>
      </w:r>
      <w:r>
        <w:rPr>
          <w:rFonts w:hint="eastAsia" w:asciiTheme="minorEastAsia" w:hAnsiTheme="minorEastAsia"/>
          <w:sz w:val="24"/>
          <w:szCs w:val="24"/>
        </w:rPr>
        <w:t>外部用户（包括客户、合作伙伴、远程用户、</w:t>
      </w:r>
      <w:r>
        <w:rPr>
          <w:rFonts w:asciiTheme="minorEastAsia" w:hAnsiTheme="minorEastAsia"/>
          <w:sz w:val="24"/>
          <w:szCs w:val="24"/>
        </w:rPr>
        <w:t>VPN用户</w:t>
      </w:r>
      <w:r>
        <w:rPr>
          <w:rFonts w:hint="eastAsia" w:asciiTheme="minorEastAsia" w:hAnsiTheme="minorEastAsia"/>
          <w:sz w:val="24"/>
          <w:szCs w:val="24"/>
        </w:rPr>
        <w:t>等）也通过园区出口</w:t>
      </w:r>
      <w:r>
        <w:rPr>
          <w:rFonts w:asciiTheme="minorEastAsia" w:hAnsiTheme="minorEastAsia"/>
          <w:sz w:val="24"/>
          <w:szCs w:val="24"/>
        </w:rPr>
        <w:t>设备</w:t>
      </w:r>
      <w:r>
        <w:rPr>
          <w:rFonts w:hint="eastAsia" w:asciiTheme="minorEastAsia" w:hAnsiTheme="minorEastAsia"/>
          <w:sz w:val="24"/>
          <w:szCs w:val="24"/>
        </w:rPr>
        <w:t>接入到内部网络。</w:t>
      </w:r>
    </w:p>
    <w:p>
      <w:pPr>
        <w:pStyle w:val="129"/>
        <w:numPr>
          <w:ilvl w:val="0"/>
          <w:numId w:val="11"/>
        </w:numPr>
        <w:topLinePunct/>
        <w:adjustRightInd w:val="0"/>
        <w:snapToGrid w:val="0"/>
        <w:spacing w:before="120" w:after="120" w:line="360" w:lineRule="auto"/>
        <w:ind w:firstLineChars="0"/>
        <w:jc w:val="left"/>
        <w:rPr>
          <w:sz w:val="24"/>
          <w:szCs w:val="24"/>
        </w:rPr>
      </w:pPr>
      <w:r>
        <w:rPr>
          <w:rFonts w:hint="eastAsia"/>
          <w:sz w:val="24"/>
          <w:szCs w:val="24"/>
        </w:rPr>
        <w:t>核心</w:t>
      </w:r>
      <w:r>
        <w:rPr>
          <w:sz w:val="24"/>
          <w:szCs w:val="24"/>
        </w:rPr>
        <w:t>层</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核心层负责整个园区网络的高速互联。核心层</w:t>
      </w:r>
      <w:r>
        <w:rPr>
          <w:rFonts w:asciiTheme="minorEastAsia" w:hAnsiTheme="minorEastAsia"/>
          <w:sz w:val="24"/>
          <w:szCs w:val="24"/>
        </w:rPr>
        <w:t>设计一般要兼顾网络利用率和网络可靠性；</w:t>
      </w:r>
      <w:r>
        <w:rPr>
          <w:rFonts w:hint="eastAsia" w:asciiTheme="minorEastAsia" w:hAnsiTheme="minorEastAsia"/>
          <w:sz w:val="24"/>
          <w:szCs w:val="24"/>
        </w:rPr>
        <w:t>需要</w:t>
      </w:r>
      <w:r>
        <w:rPr>
          <w:rFonts w:asciiTheme="minorEastAsia" w:hAnsiTheme="minorEastAsia"/>
          <w:sz w:val="24"/>
          <w:szCs w:val="24"/>
        </w:rPr>
        <w:t>对</w:t>
      </w:r>
      <w:r>
        <w:rPr>
          <w:rFonts w:hint="eastAsia" w:asciiTheme="minorEastAsia" w:hAnsiTheme="minorEastAsia"/>
          <w:sz w:val="24"/>
          <w:szCs w:val="24"/>
        </w:rPr>
        <w:t>网络故障具备快速收敛的能力。</w:t>
      </w:r>
    </w:p>
    <w:p>
      <w:pPr>
        <w:pStyle w:val="129"/>
        <w:numPr>
          <w:ilvl w:val="0"/>
          <w:numId w:val="11"/>
        </w:numPr>
        <w:topLinePunct/>
        <w:adjustRightInd w:val="0"/>
        <w:snapToGrid w:val="0"/>
        <w:spacing w:before="120" w:after="120" w:line="360" w:lineRule="auto"/>
        <w:ind w:firstLineChars="0"/>
        <w:jc w:val="left"/>
        <w:rPr>
          <w:sz w:val="24"/>
          <w:szCs w:val="24"/>
        </w:rPr>
      </w:pPr>
      <w:r>
        <w:rPr>
          <w:rFonts w:hint="eastAsia"/>
          <w:sz w:val="24"/>
          <w:szCs w:val="24"/>
        </w:rPr>
        <w:t>汇聚</w:t>
      </w:r>
      <w:r>
        <w:rPr>
          <w:sz w:val="24"/>
          <w:szCs w:val="24"/>
        </w:rPr>
        <w:t>层</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汇聚层将众多的接入设备和大量用户经过汇聚后再接入到核心层。</w:t>
      </w:r>
      <w:r>
        <w:rPr>
          <w:rFonts w:asciiTheme="minorEastAsia" w:hAnsiTheme="minorEastAsia"/>
          <w:sz w:val="24"/>
          <w:szCs w:val="24"/>
        </w:rPr>
        <w:t>汇聚</w:t>
      </w:r>
      <w:r>
        <w:rPr>
          <w:rFonts w:hint="eastAsia" w:asciiTheme="minorEastAsia" w:hAnsiTheme="minorEastAsia"/>
          <w:sz w:val="24"/>
          <w:szCs w:val="24"/>
        </w:rPr>
        <w:t>层目的</w:t>
      </w:r>
      <w:r>
        <w:rPr>
          <w:rFonts w:asciiTheme="minorEastAsia" w:hAnsiTheme="minorEastAsia"/>
          <w:sz w:val="24"/>
          <w:szCs w:val="24"/>
        </w:rPr>
        <w:t>是</w:t>
      </w:r>
      <w:r>
        <w:rPr>
          <w:rFonts w:hint="eastAsia" w:asciiTheme="minorEastAsia" w:hAnsiTheme="minorEastAsia"/>
          <w:sz w:val="24"/>
          <w:szCs w:val="24"/>
        </w:rPr>
        <w:t>扩展核心层接入用户的数量。汇聚层通常还作为用户三层网关，承担L2/L3边缘设备的角色，提供用户管理、安全管理等各项跟用户和业务相关的处理。在网络</w:t>
      </w:r>
      <w:r>
        <w:rPr>
          <w:rFonts w:asciiTheme="minorEastAsia" w:hAnsiTheme="minorEastAsia"/>
          <w:sz w:val="24"/>
          <w:szCs w:val="24"/>
        </w:rPr>
        <w:t>规模较小的情况下，</w:t>
      </w:r>
      <w:r>
        <w:rPr>
          <w:rFonts w:hint="eastAsia" w:asciiTheme="minorEastAsia" w:hAnsiTheme="minorEastAsia"/>
          <w:sz w:val="24"/>
          <w:szCs w:val="24"/>
        </w:rPr>
        <w:t>接入</w:t>
      </w:r>
      <w:r>
        <w:rPr>
          <w:rFonts w:asciiTheme="minorEastAsia" w:hAnsiTheme="minorEastAsia"/>
          <w:sz w:val="24"/>
          <w:szCs w:val="24"/>
        </w:rPr>
        <w:t>和汇聚可以合并，提供</w:t>
      </w:r>
      <w:r>
        <w:rPr>
          <w:rFonts w:hint="eastAsia" w:asciiTheme="minorEastAsia" w:hAnsiTheme="minorEastAsia"/>
          <w:sz w:val="24"/>
          <w:szCs w:val="24"/>
        </w:rPr>
        <w:t>两层</w:t>
      </w:r>
      <w:r>
        <w:rPr>
          <w:rFonts w:asciiTheme="minorEastAsia" w:hAnsiTheme="minorEastAsia"/>
          <w:sz w:val="24"/>
          <w:szCs w:val="24"/>
        </w:rPr>
        <w:t>架构。</w:t>
      </w:r>
    </w:p>
    <w:p>
      <w:pPr>
        <w:pStyle w:val="129"/>
        <w:numPr>
          <w:ilvl w:val="0"/>
          <w:numId w:val="11"/>
        </w:numPr>
        <w:topLinePunct/>
        <w:adjustRightInd w:val="0"/>
        <w:snapToGrid w:val="0"/>
        <w:spacing w:before="120" w:after="120" w:line="360" w:lineRule="auto"/>
        <w:ind w:firstLineChars="0"/>
        <w:jc w:val="left"/>
        <w:rPr>
          <w:sz w:val="24"/>
          <w:szCs w:val="24"/>
        </w:rPr>
      </w:pPr>
      <w:r>
        <w:rPr>
          <w:rFonts w:hint="eastAsia"/>
          <w:sz w:val="24"/>
          <w:szCs w:val="24"/>
        </w:rPr>
        <w:t>接入</w:t>
      </w:r>
      <w:r>
        <w:rPr>
          <w:sz w:val="24"/>
          <w:szCs w:val="24"/>
        </w:rPr>
        <w:t>层</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负责将各种终端接入到园区网络，通常由以太网交换机组成。当前</w:t>
      </w:r>
      <w:r>
        <w:rPr>
          <w:rFonts w:asciiTheme="minorEastAsia" w:hAnsiTheme="minorEastAsia"/>
          <w:sz w:val="24"/>
          <w:szCs w:val="24"/>
        </w:rPr>
        <w:t>随着移动终端的普及</w:t>
      </w:r>
      <w:r>
        <w:rPr>
          <w:rFonts w:hint="eastAsia" w:asciiTheme="minorEastAsia" w:hAnsiTheme="minorEastAsia"/>
          <w:sz w:val="24"/>
          <w:szCs w:val="24"/>
        </w:rPr>
        <w:t>，无线</w:t>
      </w:r>
      <w:r>
        <w:rPr>
          <w:rFonts w:asciiTheme="minorEastAsia" w:hAnsiTheme="minorEastAsia"/>
          <w:sz w:val="24"/>
          <w:szCs w:val="24"/>
        </w:rPr>
        <w:t>接入的需求逐渐旺盛。</w:t>
      </w:r>
      <w:r>
        <w:rPr>
          <w:rFonts w:hint="eastAsia" w:asciiTheme="minorEastAsia" w:hAnsiTheme="minorEastAsia"/>
          <w:sz w:val="24"/>
          <w:szCs w:val="24"/>
        </w:rPr>
        <w:t>所以</w:t>
      </w:r>
      <w:r>
        <w:rPr>
          <w:rFonts w:asciiTheme="minorEastAsia" w:hAnsiTheme="minorEastAsia"/>
          <w:sz w:val="24"/>
          <w:szCs w:val="24"/>
        </w:rPr>
        <w:t>园区接入层目前需要考虑有线无线的融合，</w:t>
      </w:r>
      <w:r>
        <w:rPr>
          <w:rFonts w:hint="eastAsia" w:asciiTheme="minorEastAsia" w:hAnsiTheme="minorEastAsia"/>
          <w:sz w:val="24"/>
          <w:szCs w:val="24"/>
        </w:rPr>
        <w:t>需要</w:t>
      </w:r>
      <w:r>
        <w:rPr>
          <w:rFonts w:asciiTheme="minorEastAsia" w:hAnsiTheme="minorEastAsia"/>
          <w:sz w:val="24"/>
          <w:szCs w:val="24"/>
        </w:rPr>
        <w:t>无线AP、AC甚至物联网模块。</w:t>
      </w:r>
    </w:p>
    <w:p>
      <w:pPr>
        <w:pStyle w:val="129"/>
        <w:numPr>
          <w:ilvl w:val="0"/>
          <w:numId w:val="11"/>
        </w:numPr>
        <w:topLinePunct/>
        <w:adjustRightInd w:val="0"/>
        <w:snapToGrid w:val="0"/>
        <w:spacing w:before="120" w:after="120" w:line="360" w:lineRule="auto"/>
        <w:ind w:firstLineChars="0"/>
        <w:jc w:val="left"/>
        <w:rPr>
          <w:sz w:val="24"/>
          <w:szCs w:val="24"/>
        </w:rPr>
      </w:pPr>
      <w:r>
        <w:rPr>
          <w:rFonts w:hint="eastAsia"/>
          <w:sz w:val="24"/>
          <w:szCs w:val="24"/>
        </w:rPr>
        <w:t>终端</w:t>
      </w:r>
      <w:r>
        <w:rPr>
          <w:sz w:val="24"/>
          <w:szCs w:val="24"/>
        </w:rPr>
        <w:t>层</w:t>
      </w:r>
    </w:p>
    <w:p>
      <w:pPr>
        <w:spacing w:line="360" w:lineRule="auto"/>
        <w:ind w:firstLine="480" w:firstLineChars="200"/>
        <w:rPr>
          <w:sz w:val="24"/>
          <w:szCs w:val="24"/>
        </w:rPr>
      </w:pPr>
      <w:r>
        <w:rPr>
          <w:rFonts w:hint="eastAsia" w:asciiTheme="minorEastAsia" w:hAnsiTheme="minorEastAsia"/>
          <w:sz w:val="24"/>
          <w:szCs w:val="24"/>
        </w:rPr>
        <w:t>包含园区内的各种终端设备，例如PC、笔记本电脑、打印机、传真、POTS话机、手机、摄像头等。</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园区</w:t>
      </w:r>
      <w:r>
        <w:rPr>
          <w:rFonts w:asciiTheme="minorEastAsia" w:hAnsiTheme="minorEastAsia"/>
          <w:sz w:val="24"/>
          <w:szCs w:val="24"/>
        </w:rPr>
        <w:t>网还有</w:t>
      </w:r>
      <w:r>
        <w:rPr>
          <w:rFonts w:hint="eastAsia" w:asciiTheme="minorEastAsia" w:hAnsiTheme="minorEastAsia"/>
          <w:sz w:val="24"/>
          <w:szCs w:val="24"/>
        </w:rPr>
        <w:t>包含</w:t>
      </w:r>
      <w:r>
        <w:rPr>
          <w:rFonts w:asciiTheme="minorEastAsia" w:hAnsiTheme="minorEastAsia"/>
          <w:sz w:val="24"/>
          <w:szCs w:val="24"/>
        </w:rPr>
        <w:t>两个重要的管理区域，</w:t>
      </w:r>
      <w:r>
        <w:rPr>
          <w:rFonts w:hint="eastAsia" w:asciiTheme="minorEastAsia" w:hAnsiTheme="minorEastAsia"/>
          <w:sz w:val="24"/>
          <w:szCs w:val="24"/>
        </w:rPr>
        <w:t>一个</w:t>
      </w:r>
      <w:r>
        <w:rPr>
          <w:rFonts w:asciiTheme="minorEastAsia" w:hAnsiTheme="minorEastAsia"/>
          <w:sz w:val="24"/>
          <w:szCs w:val="24"/>
        </w:rPr>
        <w:t>是运维管理区，</w:t>
      </w:r>
      <w:r>
        <w:rPr>
          <w:rFonts w:hint="eastAsia" w:asciiTheme="minorEastAsia" w:hAnsiTheme="minorEastAsia"/>
          <w:sz w:val="24"/>
          <w:szCs w:val="24"/>
        </w:rPr>
        <w:t>另一个</w:t>
      </w:r>
      <w:r>
        <w:rPr>
          <w:rFonts w:asciiTheme="minorEastAsia" w:hAnsiTheme="minorEastAsia"/>
          <w:sz w:val="24"/>
          <w:szCs w:val="24"/>
        </w:rPr>
        <w:t>是DMZ区。</w:t>
      </w:r>
    </w:p>
    <w:p>
      <w:pPr>
        <w:pStyle w:val="129"/>
        <w:numPr>
          <w:ilvl w:val="0"/>
          <w:numId w:val="11"/>
        </w:numPr>
        <w:topLinePunct/>
        <w:adjustRightInd w:val="0"/>
        <w:snapToGrid w:val="0"/>
        <w:spacing w:before="120" w:after="120" w:line="360" w:lineRule="auto"/>
        <w:ind w:firstLineChars="0"/>
        <w:jc w:val="left"/>
        <w:rPr>
          <w:sz w:val="24"/>
          <w:szCs w:val="24"/>
        </w:rPr>
      </w:pPr>
      <w:r>
        <w:rPr>
          <w:rFonts w:hint="eastAsia"/>
          <w:sz w:val="24"/>
          <w:szCs w:val="24"/>
        </w:rPr>
        <w:t>运维</w:t>
      </w:r>
      <w:r>
        <w:rPr>
          <w:sz w:val="24"/>
          <w:szCs w:val="24"/>
        </w:rPr>
        <w:t>管理区</w:t>
      </w:r>
    </w:p>
    <w:p>
      <w:pPr>
        <w:spacing w:line="360" w:lineRule="auto"/>
        <w:ind w:firstLine="480" w:firstLineChars="200"/>
        <w:rPr>
          <w:rFonts w:asciiTheme="minorEastAsia" w:hAnsiTheme="minorEastAsia"/>
          <w:sz w:val="24"/>
          <w:szCs w:val="24"/>
        </w:rPr>
      </w:pPr>
      <w:r>
        <w:rPr>
          <w:rFonts w:asciiTheme="minorEastAsia" w:hAnsiTheme="minorEastAsia"/>
          <w:sz w:val="24"/>
          <w:szCs w:val="24"/>
        </w:rPr>
        <w:t>提供</w:t>
      </w:r>
      <w:r>
        <w:rPr>
          <w:rFonts w:hint="eastAsia" w:asciiTheme="minorEastAsia" w:hAnsiTheme="minorEastAsia"/>
          <w:sz w:val="24"/>
          <w:szCs w:val="24"/>
        </w:rPr>
        <w:t>对网络、服务器、应用系统进行管理的区域。一般满足</w:t>
      </w:r>
      <w:r>
        <w:rPr>
          <w:rFonts w:asciiTheme="minorEastAsia" w:hAnsiTheme="minorEastAsia"/>
          <w:sz w:val="24"/>
          <w:szCs w:val="24"/>
        </w:rPr>
        <w:t>FCAPS模型的网络管理，主要</w:t>
      </w:r>
      <w:r>
        <w:rPr>
          <w:rFonts w:hint="eastAsia" w:asciiTheme="minorEastAsia" w:hAnsiTheme="minorEastAsia"/>
          <w:sz w:val="24"/>
          <w:szCs w:val="24"/>
        </w:rPr>
        <w:t>包括故障管理、配置管理、性能管理、安全管理等。</w:t>
      </w:r>
    </w:p>
    <w:p>
      <w:pPr>
        <w:pStyle w:val="129"/>
        <w:numPr>
          <w:ilvl w:val="0"/>
          <w:numId w:val="11"/>
        </w:numPr>
        <w:topLinePunct/>
        <w:adjustRightInd w:val="0"/>
        <w:snapToGrid w:val="0"/>
        <w:spacing w:before="120" w:after="120" w:line="360" w:lineRule="auto"/>
        <w:ind w:firstLineChars="0"/>
        <w:jc w:val="left"/>
        <w:rPr>
          <w:sz w:val="24"/>
          <w:szCs w:val="24"/>
        </w:rPr>
      </w:pPr>
      <w:r>
        <w:rPr>
          <w:rFonts w:hint="eastAsia"/>
          <w:sz w:val="24"/>
          <w:szCs w:val="24"/>
        </w:rPr>
        <w:t>DMZ区</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通常公用服务器部署于该区域，为外部访客（非企业员工）或者</w:t>
      </w:r>
      <w:r>
        <w:rPr>
          <w:rFonts w:asciiTheme="minorEastAsia" w:hAnsiTheme="minorEastAsia"/>
          <w:sz w:val="24"/>
          <w:szCs w:val="24"/>
        </w:rPr>
        <w:t>远程</w:t>
      </w:r>
      <w:r>
        <w:rPr>
          <w:rFonts w:hint="eastAsia" w:asciiTheme="minorEastAsia" w:hAnsiTheme="minorEastAsia"/>
          <w:sz w:val="24"/>
          <w:szCs w:val="24"/>
        </w:rPr>
        <w:t>办公</w:t>
      </w:r>
      <w:r>
        <w:rPr>
          <w:rFonts w:asciiTheme="minorEastAsia" w:hAnsiTheme="minorEastAsia"/>
          <w:sz w:val="24"/>
          <w:szCs w:val="24"/>
        </w:rPr>
        <w:t>用户</w:t>
      </w:r>
      <w:r>
        <w:rPr>
          <w:rFonts w:hint="eastAsia" w:asciiTheme="minorEastAsia" w:hAnsiTheme="minorEastAsia"/>
          <w:sz w:val="24"/>
          <w:szCs w:val="24"/>
        </w:rPr>
        <w:t>提供相应的访问业务（比如</w:t>
      </w:r>
      <w:r>
        <w:rPr>
          <w:rFonts w:asciiTheme="minorEastAsia" w:hAnsiTheme="minorEastAsia"/>
          <w:sz w:val="24"/>
          <w:szCs w:val="24"/>
        </w:rPr>
        <w:t>Email、Ftp服务器、DNS等</w:t>
      </w:r>
      <w:r>
        <w:rPr>
          <w:rFonts w:hint="eastAsia" w:asciiTheme="minorEastAsia" w:hAnsiTheme="minorEastAsia"/>
          <w:sz w:val="24"/>
          <w:szCs w:val="24"/>
        </w:rPr>
        <w:t>），其安全性受到严格控制。</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除</w:t>
      </w:r>
      <w:r>
        <w:rPr>
          <w:rFonts w:asciiTheme="minorEastAsia" w:hAnsiTheme="minorEastAsia"/>
          <w:sz w:val="24"/>
          <w:szCs w:val="24"/>
        </w:rPr>
        <w:t>了以上模块外，园区网络还承担和数据中心互联的功能，</w:t>
      </w:r>
      <w:r>
        <w:rPr>
          <w:rFonts w:hint="eastAsia" w:asciiTheme="minorEastAsia" w:hAnsiTheme="minorEastAsia"/>
          <w:sz w:val="24"/>
          <w:szCs w:val="24"/>
        </w:rPr>
        <w:t>满足</w:t>
      </w:r>
      <w:r>
        <w:rPr>
          <w:rFonts w:asciiTheme="minorEastAsia" w:hAnsiTheme="minorEastAsia"/>
          <w:sz w:val="24"/>
          <w:szCs w:val="24"/>
        </w:rPr>
        <w:t>终端到应用之间的访问权限控制</w:t>
      </w:r>
      <w:r>
        <w:rPr>
          <w:rFonts w:hint="eastAsia" w:asciiTheme="minorEastAsia" w:hAnsiTheme="minorEastAsia"/>
          <w:sz w:val="24"/>
          <w:szCs w:val="24"/>
        </w:rPr>
        <w:t>和</w:t>
      </w:r>
      <w:r>
        <w:rPr>
          <w:rFonts w:asciiTheme="minorEastAsia" w:hAnsiTheme="minorEastAsia"/>
          <w:sz w:val="24"/>
          <w:szCs w:val="24"/>
        </w:rPr>
        <w:t>业务的隔离。</w:t>
      </w:r>
    </w:p>
    <w:p>
      <w:pPr>
        <w:pStyle w:val="6"/>
        <w:spacing w:line="360" w:lineRule="auto"/>
        <w:rPr>
          <w:szCs w:val="24"/>
        </w:rPr>
      </w:pPr>
      <w:bookmarkStart w:id="20" w:name="_Toc15300423"/>
      <w:r>
        <w:rPr>
          <w:rFonts w:hint="eastAsia"/>
          <w:szCs w:val="24"/>
        </w:rPr>
        <w:t>网络</w:t>
      </w:r>
      <w:r>
        <w:rPr>
          <w:szCs w:val="24"/>
        </w:rPr>
        <w:t>物理架构</w:t>
      </w:r>
      <w:bookmarkEnd w:id="20"/>
    </w:p>
    <w:p>
      <w:pPr>
        <w:spacing w:line="360" w:lineRule="auto"/>
        <w:rPr>
          <w:sz w:val="24"/>
          <w:szCs w:val="24"/>
        </w:rPr>
      </w:pPr>
      <w:r>
        <w:rPr>
          <w:rFonts w:hint="eastAsia"/>
          <w:sz w:val="24"/>
          <w:szCs w:val="24"/>
        </w:rPr>
        <w:t xml:space="preserve">  网络物理架构图如下：</w:t>
      </w:r>
      <w:r>
        <w:rPr>
          <w:rFonts w:hint="eastAsia" w:asciiTheme="minorEastAsia" w:hAnsiTheme="minorEastAsia"/>
          <w:sz w:val="24"/>
          <w:szCs w:val="24"/>
        </w:rPr>
        <w:t>该物理拓扑的主要特点有：</w:t>
      </w:r>
    </w:p>
    <w:p>
      <w:pPr>
        <w:pStyle w:val="129"/>
        <w:numPr>
          <w:ilvl w:val="0"/>
          <w:numId w:val="11"/>
        </w:numPr>
        <w:topLinePunct/>
        <w:adjustRightInd w:val="0"/>
        <w:snapToGrid w:val="0"/>
        <w:spacing w:before="120" w:after="120" w:line="360" w:lineRule="auto"/>
        <w:ind w:firstLineChars="0"/>
        <w:jc w:val="left"/>
        <w:rPr>
          <w:sz w:val="24"/>
          <w:szCs w:val="24"/>
        </w:rPr>
      </w:pPr>
      <w:r>
        <w:rPr>
          <w:rFonts w:hint="eastAsia"/>
          <w:sz w:val="24"/>
          <w:szCs w:val="24"/>
        </w:rPr>
        <w:t>核心层采用框式设备，具备高可靠性，满足园区业务的高速稳定互联。</w:t>
      </w:r>
    </w:p>
    <w:p>
      <w:pPr>
        <w:pStyle w:val="129"/>
        <w:numPr>
          <w:ilvl w:val="0"/>
          <w:numId w:val="11"/>
        </w:numPr>
        <w:topLinePunct/>
        <w:adjustRightInd w:val="0"/>
        <w:snapToGrid w:val="0"/>
        <w:spacing w:before="120" w:after="120" w:line="360" w:lineRule="auto"/>
        <w:ind w:firstLineChars="0"/>
        <w:jc w:val="left"/>
        <w:rPr>
          <w:sz w:val="24"/>
          <w:szCs w:val="24"/>
        </w:rPr>
      </w:pPr>
      <w:r>
        <w:rPr>
          <w:rFonts w:hint="eastAsia" w:asciiTheme="minorEastAsia" w:hAnsiTheme="minorEastAsia"/>
          <w:color w:val="000000"/>
          <w:sz w:val="24"/>
          <w:szCs w:val="24"/>
        </w:rPr>
        <w:t>网络采用分层设计，包括核心层、汇聚层、接入层（汇聚接入根据规模可以合并）。</w:t>
      </w:r>
    </w:p>
    <w:p>
      <w:pPr>
        <w:pStyle w:val="129"/>
        <w:numPr>
          <w:ilvl w:val="0"/>
          <w:numId w:val="11"/>
        </w:numPr>
        <w:topLinePunct/>
        <w:adjustRightInd w:val="0"/>
        <w:snapToGrid w:val="0"/>
        <w:spacing w:before="120" w:after="120" w:line="360" w:lineRule="auto"/>
        <w:ind w:firstLineChars="0"/>
        <w:jc w:val="left"/>
        <w:rPr>
          <w:sz w:val="24"/>
          <w:szCs w:val="24"/>
        </w:rPr>
      </w:pPr>
      <w:r>
        <w:rPr>
          <w:rFonts w:hint="eastAsia" w:asciiTheme="minorEastAsia" w:hAnsiTheme="minorEastAsia"/>
          <w:color w:val="000000"/>
          <w:sz w:val="24"/>
          <w:szCs w:val="24"/>
        </w:rPr>
        <w:t>有线无线一体化设计，实现一体化管理、一体化供电。</w:t>
      </w:r>
    </w:p>
    <w:p>
      <w:pPr>
        <w:pStyle w:val="129"/>
        <w:numPr>
          <w:ilvl w:val="0"/>
          <w:numId w:val="11"/>
        </w:numPr>
        <w:topLinePunct/>
        <w:adjustRightInd w:val="0"/>
        <w:snapToGrid w:val="0"/>
        <w:spacing w:before="120" w:after="120" w:line="360" w:lineRule="auto"/>
        <w:ind w:firstLineChars="0"/>
        <w:jc w:val="left"/>
        <w:rPr>
          <w:sz w:val="24"/>
          <w:szCs w:val="24"/>
        </w:rPr>
      </w:pPr>
      <w:r>
        <w:rPr>
          <w:rFonts w:hint="eastAsia" w:asciiTheme="minorEastAsia" w:hAnsiTheme="minorEastAsia"/>
          <w:color w:val="000000"/>
          <w:sz w:val="24"/>
          <w:szCs w:val="24"/>
        </w:rPr>
        <w:t>采用网络管理软件管理全网所有网络设备。</w:t>
      </w:r>
    </w:p>
    <w:p>
      <w:pPr>
        <w:pStyle w:val="129"/>
        <w:numPr>
          <w:ilvl w:val="0"/>
          <w:numId w:val="11"/>
        </w:numPr>
        <w:topLinePunct/>
        <w:adjustRightInd w:val="0"/>
        <w:snapToGrid w:val="0"/>
        <w:spacing w:before="120" w:after="120" w:line="360" w:lineRule="auto"/>
        <w:ind w:firstLineChars="0"/>
        <w:jc w:val="left"/>
        <w:rPr>
          <w:sz w:val="24"/>
          <w:szCs w:val="24"/>
        </w:rPr>
      </w:pPr>
      <w:r>
        <w:rPr>
          <w:rFonts w:hint="eastAsia" w:asciiTheme="minorEastAsia" w:hAnsiTheme="minorEastAsia"/>
          <w:color w:val="000000"/>
          <w:sz w:val="24"/>
          <w:szCs w:val="24"/>
        </w:rPr>
        <w:t>智能平台同时可以提供用户、终端的接入管理，实现人、设备、业务的智能运维。</w:t>
      </w:r>
    </w:p>
    <w:p>
      <w:pPr>
        <w:pStyle w:val="5"/>
        <w:spacing w:line="360" w:lineRule="auto"/>
        <w:rPr>
          <w:sz w:val="24"/>
          <w:szCs w:val="24"/>
        </w:rPr>
      </w:pPr>
      <w:bookmarkStart w:id="21" w:name="_Toc15300425"/>
      <w:r>
        <w:rPr>
          <w:sz w:val="24"/>
          <w:szCs w:val="24"/>
        </w:rPr>
        <w:t>网络</w:t>
      </w:r>
      <w:r>
        <w:rPr>
          <w:rFonts w:hint="eastAsia"/>
          <w:sz w:val="24"/>
          <w:szCs w:val="24"/>
        </w:rPr>
        <w:t>规划</w:t>
      </w:r>
      <w:bookmarkEnd w:id="21"/>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整个网络为了便于运维，将网络按照经典的三层结构（接入层、汇聚层、核心层）进行部署。通过分层部署可以使网络具有很好的扩展性（无需干扰其它区域就能根据需要增加容量），可以提升网络的可用性（隔离故障域降低故障对网络的影响），可以简化网络的管理（拓扑结构结构更清晰）。</w:t>
      </w:r>
    </w:p>
    <w:p>
      <w:pPr>
        <w:pStyle w:val="129"/>
        <w:numPr>
          <w:ilvl w:val="0"/>
          <w:numId w:val="12"/>
        </w:numPr>
        <w:spacing w:line="360" w:lineRule="auto"/>
        <w:ind w:firstLineChars="0"/>
        <w:rPr>
          <w:rFonts w:asciiTheme="minorEastAsia" w:hAnsiTheme="minorEastAsia"/>
          <w:sz w:val="24"/>
          <w:szCs w:val="24"/>
        </w:rPr>
      </w:pPr>
      <w:r>
        <w:rPr>
          <w:rFonts w:asciiTheme="minorEastAsia" w:hAnsiTheme="minorEastAsia"/>
          <w:sz w:val="24"/>
          <w:szCs w:val="24"/>
        </w:rPr>
        <w:t>接入层：提供Layer2的网络接入，通过VLAN划分实现接入的隔离，</w:t>
      </w:r>
      <w:r>
        <w:rPr>
          <w:rFonts w:hint="eastAsia" w:asciiTheme="minorEastAsia" w:hAnsiTheme="minorEastAsia"/>
          <w:sz w:val="24"/>
          <w:szCs w:val="24"/>
        </w:rPr>
        <w:t>接入</w:t>
      </w:r>
      <w:r>
        <w:rPr>
          <w:rFonts w:asciiTheme="minorEastAsia" w:hAnsiTheme="minorEastAsia"/>
          <w:sz w:val="24"/>
          <w:szCs w:val="24"/>
        </w:rPr>
        <w:t>层完成以下的功能：</w:t>
      </w:r>
    </w:p>
    <w:p>
      <w:pPr>
        <w:pStyle w:val="129"/>
        <w:numPr>
          <w:ilvl w:val="0"/>
          <w:numId w:val="13"/>
        </w:numPr>
        <w:spacing w:line="360" w:lineRule="auto"/>
        <w:ind w:firstLineChars="0"/>
        <w:rPr>
          <w:rFonts w:asciiTheme="minorEastAsia" w:hAnsiTheme="minorEastAsia"/>
          <w:sz w:val="24"/>
          <w:szCs w:val="24"/>
        </w:rPr>
      </w:pPr>
      <w:r>
        <w:rPr>
          <w:rFonts w:hint="eastAsia" w:asciiTheme="minorEastAsia" w:hAnsiTheme="minorEastAsia"/>
          <w:sz w:val="24"/>
          <w:szCs w:val="24"/>
        </w:rPr>
        <w:t>实现PC、打印机等有线终端的高性能接入，本次网络采用千兆带宽接入；</w:t>
      </w:r>
    </w:p>
    <w:p>
      <w:pPr>
        <w:pStyle w:val="129"/>
        <w:numPr>
          <w:ilvl w:val="0"/>
          <w:numId w:val="13"/>
        </w:numPr>
        <w:spacing w:line="360" w:lineRule="auto"/>
        <w:ind w:firstLineChars="0"/>
        <w:rPr>
          <w:rFonts w:asciiTheme="minorEastAsia" w:hAnsiTheme="minorEastAsia"/>
          <w:sz w:val="24"/>
          <w:szCs w:val="24"/>
        </w:rPr>
      </w:pPr>
      <w:r>
        <w:rPr>
          <w:rFonts w:asciiTheme="minorEastAsia" w:hAnsiTheme="minorEastAsia"/>
          <w:sz w:val="24"/>
          <w:szCs w:val="24"/>
        </w:rPr>
        <w:t>各功能分区的接入层相对独立，连接到对应功能区的汇聚层</w:t>
      </w:r>
      <w:r>
        <w:rPr>
          <w:rFonts w:hint="eastAsia" w:asciiTheme="minorEastAsia" w:hAnsiTheme="minorEastAsia"/>
          <w:sz w:val="24"/>
          <w:szCs w:val="24"/>
        </w:rPr>
        <w:t>；</w:t>
      </w:r>
    </w:p>
    <w:p>
      <w:pPr>
        <w:pStyle w:val="129"/>
        <w:numPr>
          <w:ilvl w:val="0"/>
          <w:numId w:val="13"/>
        </w:numPr>
        <w:spacing w:line="360" w:lineRule="auto"/>
        <w:ind w:firstLineChars="0"/>
        <w:rPr>
          <w:rFonts w:asciiTheme="minorEastAsia" w:hAnsiTheme="minorEastAsia"/>
          <w:sz w:val="24"/>
          <w:szCs w:val="24"/>
        </w:rPr>
      </w:pPr>
      <w:r>
        <w:rPr>
          <w:rFonts w:hint="eastAsia" w:asciiTheme="minorEastAsia" w:hAnsiTheme="minorEastAsia"/>
          <w:sz w:val="24"/>
          <w:szCs w:val="24"/>
        </w:rPr>
        <w:t>接入层下不能再挂接任何网络设备，包括HUB、SOHO路由器等。</w:t>
      </w:r>
    </w:p>
    <w:p>
      <w:pPr>
        <w:pStyle w:val="129"/>
        <w:numPr>
          <w:ilvl w:val="0"/>
          <w:numId w:val="12"/>
        </w:numPr>
        <w:spacing w:line="360" w:lineRule="auto"/>
        <w:ind w:firstLineChars="0"/>
        <w:rPr>
          <w:rFonts w:asciiTheme="minorEastAsia" w:hAnsiTheme="minorEastAsia"/>
          <w:sz w:val="24"/>
          <w:szCs w:val="24"/>
        </w:rPr>
      </w:pPr>
      <w:r>
        <w:rPr>
          <w:rFonts w:asciiTheme="minorEastAsia" w:hAnsiTheme="minorEastAsia"/>
          <w:sz w:val="24"/>
          <w:szCs w:val="24"/>
        </w:rPr>
        <w:t>汇聚层：作为接入层和核心层的分界层，</w:t>
      </w:r>
      <w:r>
        <w:rPr>
          <w:rFonts w:hint="eastAsia" w:asciiTheme="minorEastAsia" w:hAnsiTheme="minorEastAsia"/>
          <w:sz w:val="24"/>
          <w:szCs w:val="24"/>
        </w:rPr>
        <w:t>完成</w:t>
      </w:r>
      <w:r>
        <w:rPr>
          <w:rFonts w:asciiTheme="minorEastAsia" w:hAnsiTheme="minorEastAsia"/>
          <w:sz w:val="24"/>
          <w:szCs w:val="24"/>
        </w:rPr>
        <w:t>各功能分区IP地址或路由区域的汇聚</w:t>
      </w:r>
      <w:r>
        <w:rPr>
          <w:rFonts w:hint="eastAsia" w:asciiTheme="minorEastAsia" w:hAnsiTheme="minorEastAsia"/>
          <w:sz w:val="24"/>
          <w:szCs w:val="24"/>
        </w:rPr>
        <w:t>，</w:t>
      </w:r>
      <w:r>
        <w:rPr>
          <w:rFonts w:asciiTheme="minorEastAsia" w:hAnsiTheme="minorEastAsia"/>
          <w:sz w:val="24"/>
          <w:szCs w:val="24"/>
        </w:rPr>
        <w:t>汇聚层完成以下的功能：</w:t>
      </w:r>
    </w:p>
    <w:p>
      <w:pPr>
        <w:pStyle w:val="129"/>
        <w:numPr>
          <w:ilvl w:val="0"/>
          <w:numId w:val="14"/>
        </w:numPr>
        <w:spacing w:line="360" w:lineRule="auto"/>
        <w:ind w:firstLineChars="0"/>
        <w:rPr>
          <w:rFonts w:asciiTheme="minorEastAsia" w:hAnsiTheme="minorEastAsia"/>
          <w:sz w:val="24"/>
          <w:szCs w:val="24"/>
        </w:rPr>
      </w:pPr>
      <w:r>
        <w:rPr>
          <w:rFonts w:asciiTheme="minorEastAsia" w:hAnsiTheme="minorEastAsia"/>
          <w:sz w:val="24"/>
          <w:szCs w:val="24"/>
        </w:rPr>
        <w:t>不同业务功能的汇聚；</w:t>
      </w:r>
    </w:p>
    <w:p>
      <w:pPr>
        <w:pStyle w:val="129"/>
        <w:numPr>
          <w:ilvl w:val="0"/>
          <w:numId w:val="14"/>
        </w:numPr>
        <w:spacing w:line="360" w:lineRule="auto"/>
        <w:ind w:firstLineChars="0"/>
        <w:rPr>
          <w:rFonts w:asciiTheme="minorEastAsia" w:hAnsiTheme="minorEastAsia"/>
          <w:sz w:val="24"/>
          <w:szCs w:val="24"/>
        </w:rPr>
      </w:pPr>
      <w:r>
        <w:rPr>
          <w:rFonts w:asciiTheme="minorEastAsia" w:hAnsiTheme="minorEastAsia"/>
          <w:sz w:val="24"/>
          <w:szCs w:val="24"/>
        </w:rPr>
        <w:t>本功能区VLAN 间的路由；</w:t>
      </w:r>
    </w:p>
    <w:p>
      <w:pPr>
        <w:pStyle w:val="129"/>
        <w:numPr>
          <w:ilvl w:val="0"/>
          <w:numId w:val="14"/>
        </w:numPr>
        <w:spacing w:line="360" w:lineRule="auto"/>
        <w:ind w:firstLineChars="0"/>
        <w:rPr>
          <w:rFonts w:asciiTheme="minorEastAsia" w:hAnsiTheme="minorEastAsia"/>
          <w:sz w:val="24"/>
          <w:szCs w:val="24"/>
        </w:rPr>
      </w:pPr>
      <w:r>
        <w:rPr>
          <w:rFonts w:asciiTheme="minorEastAsia" w:hAnsiTheme="minorEastAsia"/>
          <w:sz w:val="24"/>
          <w:szCs w:val="24"/>
        </w:rPr>
        <w:t>广播域或组播域的边界；</w:t>
      </w:r>
    </w:p>
    <w:p>
      <w:pPr>
        <w:pStyle w:val="129"/>
        <w:numPr>
          <w:ilvl w:val="0"/>
          <w:numId w:val="14"/>
        </w:numPr>
        <w:spacing w:line="360" w:lineRule="auto"/>
        <w:ind w:firstLineChars="0"/>
        <w:rPr>
          <w:rFonts w:asciiTheme="minorEastAsia" w:hAnsiTheme="minorEastAsia"/>
          <w:sz w:val="24"/>
          <w:szCs w:val="24"/>
        </w:rPr>
      </w:pPr>
      <w:r>
        <w:rPr>
          <w:rFonts w:asciiTheme="minorEastAsia" w:hAnsiTheme="minorEastAsia"/>
          <w:sz w:val="24"/>
          <w:szCs w:val="24"/>
        </w:rPr>
        <w:t>在汇聚层实施功能区内、功能区之间的安全访问策略。</w:t>
      </w:r>
    </w:p>
    <w:p>
      <w:pPr>
        <w:pStyle w:val="129"/>
        <w:numPr>
          <w:ilvl w:val="0"/>
          <w:numId w:val="12"/>
        </w:numPr>
        <w:spacing w:line="360" w:lineRule="auto"/>
        <w:ind w:firstLineChars="0"/>
        <w:rPr>
          <w:rFonts w:asciiTheme="minorEastAsia" w:hAnsiTheme="minorEastAsia"/>
          <w:sz w:val="24"/>
          <w:szCs w:val="24"/>
        </w:rPr>
      </w:pPr>
      <w:r>
        <w:rPr>
          <w:rFonts w:asciiTheme="minorEastAsia" w:hAnsiTheme="minorEastAsia"/>
          <w:sz w:val="24"/>
          <w:szCs w:val="24"/>
        </w:rPr>
        <w:t>核心层：提供</w:t>
      </w:r>
      <w:r>
        <w:rPr>
          <w:rFonts w:hint="eastAsia" w:asciiTheme="minorEastAsia" w:hAnsiTheme="minorEastAsia"/>
          <w:sz w:val="24"/>
          <w:szCs w:val="24"/>
        </w:rPr>
        <w:t>各区域间的</w:t>
      </w:r>
      <w:r>
        <w:rPr>
          <w:rFonts w:asciiTheme="minorEastAsia" w:hAnsiTheme="minorEastAsia"/>
          <w:sz w:val="24"/>
          <w:szCs w:val="24"/>
        </w:rPr>
        <w:t>高速三层交换，</w:t>
      </w:r>
      <w:r>
        <w:rPr>
          <w:rFonts w:hint="eastAsia" w:asciiTheme="minorEastAsia" w:hAnsiTheme="minorEastAsia"/>
          <w:sz w:val="24"/>
          <w:szCs w:val="24"/>
        </w:rPr>
        <w:t>核心</w:t>
      </w:r>
      <w:r>
        <w:rPr>
          <w:rFonts w:asciiTheme="minorEastAsia" w:hAnsiTheme="minorEastAsia"/>
          <w:sz w:val="24"/>
          <w:szCs w:val="24"/>
        </w:rPr>
        <w:t>层完成以下的功能：</w:t>
      </w:r>
    </w:p>
    <w:p>
      <w:pPr>
        <w:pStyle w:val="129"/>
        <w:numPr>
          <w:ilvl w:val="0"/>
          <w:numId w:val="15"/>
        </w:numPr>
        <w:spacing w:line="360" w:lineRule="auto"/>
        <w:ind w:firstLineChars="0"/>
        <w:rPr>
          <w:rFonts w:asciiTheme="minorEastAsia" w:hAnsiTheme="minorEastAsia"/>
          <w:sz w:val="24"/>
          <w:szCs w:val="24"/>
        </w:rPr>
      </w:pPr>
      <w:r>
        <w:rPr>
          <w:rFonts w:hint="eastAsia" w:asciiTheme="minorEastAsia" w:hAnsiTheme="minorEastAsia"/>
          <w:sz w:val="24"/>
          <w:szCs w:val="24"/>
        </w:rPr>
        <w:t>采用万兆光纤与各区域汇聚设备形成互联，形成万兆骨干网络；</w:t>
      </w:r>
    </w:p>
    <w:p>
      <w:pPr>
        <w:pStyle w:val="129"/>
        <w:numPr>
          <w:ilvl w:val="0"/>
          <w:numId w:val="15"/>
        </w:numPr>
        <w:spacing w:line="360" w:lineRule="auto"/>
        <w:ind w:firstLineChars="0"/>
        <w:rPr>
          <w:rFonts w:asciiTheme="minorEastAsia" w:hAnsiTheme="minorEastAsia"/>
          <w:sz w:val="24"/>
          <w:szCs w:val="24"/>
        </w:rPr>
      </w:pPr>
      <w:r>
        <w:rPr>
          <w:rFonts w:asciiTheme="minorEastAsia" w:hAnsiTheme="minorEastAsia"/>
          <w:sz w:val="24"/>
          <w:szCs w:val="24"/>
        </w:rPr>
        <w:t>核心层不进行终端</w:t>
      </w:r>
      <w:r>
        <w:rPr>
          <w:rFonts w:hint="eastAsia" w:asciiTheme="minorEastAsia" w:hAnsiTheme="minorEastAsia"/>
          <w:sz w:val="24"/>
          <w:szCs w:val="24"/>
        </w:rPr>
        <w:t>、服务器</w:t>
      </w:r>
      <w:r>
        <w:rPr>
          <w:rFonts w:asciiTheme="minorEastAsia" w:hAnsiTheme="minorEastAsia"/>
          <w:sz w:val="24"/>
          <w:szCs w:val="24"/>
        </w:rPr>
        <w:t>系统的连接；</w:t>
      </w:r>
    </w:p>
    <w:p>
      <w:pPr>
        <w:pStyle w:val="129"/>
        <w:numPr>
          <w:ilvl w:val="0"/>
          <w:numId w:val="15"/>
        </w:numPr>
        <w:spacing w:line="360" w:lineRule="auto"/>
        <w:ind w:firstLineChars="0"/>
        <w:rPr>
          <w:rFonts w:asciiTheme="minorEastAsia" w:hAnsiTheme="minorEastAsia"/>
          <w:sz w:val="24"/>
          <w:szCs w:val="24"/>
        </w:rPr>
      </w:pPr>
      <w:r>
        <w:rPr>
          <w:rFonts w:asciiTheme="minorEastAsia" w:hAnsiTheme="minorEastAsia"/>
          <w:sz w:val="24"/>
          <w:szCs w:val="24"/>
        </w:rPr>
        <w:t>核心层不实施影响高速交换性能的ACL等功能。</w:t>
      </w:r>
    </w:p>
    <w:p>
      <w:pPr>
        <w:pStyle w:val="5"/>
        <w:spacing w:line="360" w:lineRule="auto"/>
        <w:rPr>
          <w:sz w:val="24"/>
          <w:szCs w:val="24"/>
        </w:rPr>
      </w:pPr>
      <w:r>
        <w:rPr>
          <w:sz w:val="24"/>
          <w:szCs w:val="24"/>
        </w:rPr>
        <w:t>方案特点</w:t>
      </w:r>
      <w:bookmarkEnd w:id="17"/>
      <w:bookmarkEnd w:id="18"/>
    </w:p>
    <w:p>
      <w:pPr>
        <w:pStyle w:val="6"/>
        <w:spacing w:line="360" w:lineRule="auto"/>
        <w:rPr>
          <w:szCs w:val="24"/>
        </w:rPr>
      </w:pPr>
      <w:bookmarkStart w:id="22" w:name="_Toc526592210"/>
      <w:bookmarkStart w:id="23" w:name="_Toc15300416"/>
      <w:r>
        <w:rPr>
          <w:rFonts w:hint="eastAsia"/>
          <w:szCs w:val="24"/>
        </w:rPr>
        <w:t>高可靠和易</w:t>
      </w:r>
      <w:r>
        <w:rPr>
          <w:szCs w:val="24"/>
        </w:rPr>
        <w:t>扩展的</w:t>
      </w:r>
      <w:r>
        <w:rPr>
          <w:rFonts w:hint="eastAsia"/>
          <w:szCs w:val="24"/>
        </w:rPr>
        <w:t>架构</w:t>
      </w:r>
      <w:bookmarkEnd w:id="22"/>
      <w:bookmarkEnd w:id="23"/>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H3C设备虚拟化技术主要包括多虚一技术横向虚拟化IRF2、纵向虚拟化IRF3.1，一虚多技术MDC。</w:t>
      </w:r>
    </w:p>
    <w:p>
      <w:pPr>
        <w:spacing w:line="360" w:lineRule="auto"/>
        <w:ind w:firstLine="480" w:firstLineChars="200"/>
        <w:rPr>
          <w:rFonts w:asciiTheme="minorEastAsia" w:hAnsiTheme="minorEastAsia"/>
          <w:sz w:val="24"/>
          <w:szCs w:val="24"/>
        </w:rPr>
      </w:pPr>
      <w:r>
        <w:rPr>
          <w:rFonts w:asciiTheme="minorEastAsia" w:hAnsiTheme="minorEastAsia"/>
          <w:sz w:val="24"/>
          <w:szCs w:val="24"/>
        </w:rPr>
        <w:t>IRF2</w:t>
      </w:r>
      <w:r>
        <w:rPr>
          <w:rFonts w:hint="eastAsia" w:asciiTheme="minorEastAsia" w:hAnsiTheme="minorEastAsia"/>
          <w:sz w:val="24"/>
          <w:szCs w:val="24"/>
        </w:rPr>
        <w:t>主要是把相同型号的多台设备虚拟化为一台设备，具有统一的控制平面，统一的管理入口，是目前绝大多高可靠数数据中心、园区网所采用的设备虚拟化技术。实际组网中，在部署IRF虚拟化整合之后，对上、下层设备来说，它们就是一台设备，网络从终端/服务器网卡接入至汇聚、核心交换机，二层链路可实现端到端捆绑。IRF可在核心层、汇聚层和接入层实现端到端的部署。</w:t>
      </w:r>
    </w:p>
    <w:p>
      <w:pPr>
        <w:spacing w:line="360" w:lineRule="auto"/>
        <w:ind w:firstLine="480" w:firstLineChars="200"/>
        <w:rPr>
          <w:rFonts w:asciiTheme="minorEastAsia" w:hAnsiTheme="minorEastAsia"/>
          <w:sz w:val="24"/>
          <w:szCs w:val="24"/>
        </w:rPr>
      </w:pPr>
      <w:r>
        <w:rPr>
          <w:rFonts w:asciiTheme="minorEastAsia" w:hAnsiTheme="minorEastAsia"/>
          <w:sz w:val="24"/>
          <w:szCs w:val="24"/>
        </w:rPr>
        <w:t>MDC</w:t>
      </w:r>
      <w:r>
        <w:rPr>
          <w:rFonts w:hint="eastAsia" w:asciiTheme="minorEastAsia" w:hAnsiTheme="minorEastAsia"/>
          <w:sz w:val="24"/>
          <w:szCs w:val="24"/>
        </w:rPr>
        <w:t>把经过</w:t>
      </w:r>
      <w:r>
        <w:rPr>
          <w:rFonts w:asciiTheme="minorEastAsia" w:hAnsiTheme="minorEastAsia"/>
          <w:sz w:val="24"/>
          <w:szCs w:val="24"/>
        </w:rPr>
        <w:t>IRF2</w:t>
      </w:r>
      <w:r>
        <w:rPr>
          <w:rFonts w:hint="eastAsia" w:asciiTheme="minorEastAsia" w:hAnsiTheme="minorEastAsia"/>
          <w:sz w:val="24"/>
          <w:szCs w:val="24"/>
        </w:rPr>
        <w:t>虚拟化后的设备再虚拟化为多个</w:t>
      </w:r>
      <w:r>
        <w:rPr>
          <w:rFonts w:asciiTheme="minorEastAsia" w:hAnsiTheme="minorEastAsia"/>
          <w:sz w:val="24"/>
          <w:szCs w:val="24"/>
        </w:rPr>
        <w:t>MDC</w:t>
      </w:r>
      <w:r>
        <w:rPr>
          <w:rFonts w:hint="eastAsia" w:asciiTheme="minorEastAsia" w:hAnsiTheme="minorEastAsia"/>
          <w:sz w:val="24"/>
          <w:szCs w:val="24"/>
        </w:rPr>
        <w:t>，每个</w:t>
      </w:r>
      <w:r>
        <w:rPr>
          <w:rFonts w:asciiTheme="minorEastAsia" w:hAnsiTheme="minorEastAsia"/>
          <w:sz w:val="24"/>
          <w:szCs w:val="24"/>
        </w:rPr>
        <w:t>MDC</w:t>
      </w:r>
      <w:r>
        <w:rPr>
          <w:rFonts w:hint="eastAsia" w:asciiTheme="minorEastAsia" w:hAnsiTheme="minorEastAsia"/>
          <w:sz w:val="24"/>
          <w:szCs w:val="24"/>
        </w:rPr>
        <w:t>具有自己独立的控制平面、独立的硬件系统，不同的</w:t>
      </w:r>
      <w:r>
        <w:rPr>
          <w:rFonts w:asciiTheme="minorEastAsia" w:hAnsiTheme="minorEastAsia"/>
          <w:sz w:val="24"/>
          <w:szCs w:val="24"/>
        </w:rPr>
        <w:t>MDC</w:t>
      </w:r>
      <w:r>
        <w:rPr>
          <w:rFonts w:hint="eastAsia" w:asciiTheme="minorEastAsia" w:hAnsiTheme="minorEastAsia"/>
          <w:sz w:val="24"/>
          <w:szCs w:val="24"/>
        </w:rPr>
        <w:t>之间是物理隔离的，对外界来说，一个</w:t>
      </w:r>
      <w:r>
        <w:rPr>
          <w:rFonts w:asciiTheme="minorEastAsia" w:hAnsiTheme="minorEastAsia"/>
          <w:sz w:val="24"/>
          <w:szCs w:val="24"/>
        </w:rPr>
        <w:t>MDC</w:t>
      </w:r>
      <w:r>
        <w:rPr>
          <w:rFonts w:hint="eastAsia" w:asciiTheme="minorEastAsia" w:hAnsiTheme="minorEastAsia"/>
          <w:sz w:val="24"/>
          <w:szCs w:val="24"/>
        </w:rPr>
        <w:t>就是一台物理交换机，因此能够把多余的端口划分到新的</w:t>
      </w:r>
      <w:r>
        <w:rPr>
          <w:rFonts w:asciiTheme="minorEastAsia" w:hAnsiTheme="minorEastAsia"/>
          <w:sz w:val="24"/>
          <w:szCs w:val="24"/>
        </w:rPr>
        <w:t>MDC</w:t>
      </w:r>
      <w:r>
        <w:rPr>
          <w:rFonts w:hint="eastAsia" w:asciiTheme="minorEastAsia" w:hAnsiTheme="minorEastAsia"/>
          <w:sz w:val="24"/>
          <w:szCs w:val="24"/>
        </w:rPr>
        <w:t>里，提升设备利用率。</w:t>
      </w:r>
    </w:p>
    <w:p>
      <w:pPr>
        <w:spacing w:line="360" w:lineRule="auto"/>
        <w:ind w:firstLine="480" w:firstLineChars="200"/>
        <w:rPr>
          <w:rFonts w:asciiTheme="minorEastAsia" w:hAnsiTheme="minorEastAsia"/>
          <w:sz w:val="24"/>
          <w:szCs w:val="24"/>
        </w:rPr>
      </w:pPr>
      <w:r>
        <w:rPr>
          <w:rFonts w:asciiTheme="minorEastAsia" w:hAnsiTheme="minorEastAsia"/>
          <w:sz w:val="24"/>
          <w:szCs w:val="24"/>
        </w:rPr>
        <w:t>IRF3.1</w:t>
      </w:r>
      <w:r>
        <w:rPr>
          <w:rFonts w:hint="eastAsia" w:asciiTheme="minorEastAsia" w:hAnsiTheme="minorEastAsia"/>
          <w:sz w:val="24"/>
          <w:szCs w:val="24"/>
        </w:rPr>
        <w:t>实现不同型号设备的虚拟化，纵向维度上支持对系统进行异构扩展，即在形成一台逻辑虚拟设备的基础上，把一台盒式设备作为一块远程接口板加入主设备系统，以达到扩展</w:t>
      </w:r>
      <w:r>
        <w:rPr>
          <w:rFonts w:asciiTheme="minorEastAsia" w:hAnsiTheme="minorEastAsia"/>
          <w:sz w:val="24"/>
          <w:szCs w:val="24"/>
        </w:rPr>
        <w:t>I/O</w:t>
      </w:r>
      <w:r>
        <w:rPr>
          <w:rFonts w:hint="eastAsia" w:asciiTheme="minorEastAsia" w:hAnsiTheme="minorEastAsia"/>
          <w:sz w:val="24"/>
          <w:szCs w:val="24"/>
        </w:rPr>
        <w:t>端口能力和进行集中控制管理的目的。</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通过IRF2和IRF3技术，把各区域汇聚交换机与接入交换机进行全面的虚拟化，实现扁平化的架构，从而有效简化网络，提高网络可靠性。如下图所示：</w:t>
      </w:r>
    </w:p>
    <w:p>
      <w:pPr>
        <w:spacing w:line="360" w:lineRule="auto"/>
        <w:ind w:left="420"/>
        <w:jc w:val="center"/>
        <w:rPr>
          <w:rFonts w:ascii="宋体" w:hAnsi="宋体"/>
          <w:sz w:val="24"/>
          <w:szCs w:val="24"/>
        </w:rPr>
      </w:pPr>
      <w:r>
        <w:rPr>
          <w:rFonts w:ascii="宋体" w:hAnsi="宋体"/>
          <w:sz w:val="24"/>
          <w:szCs w:val="24"/>
        </w:rPr>
        <w:drawing>
          <wp:inline distT="0" distB="0" distL="0" distR="0">
            <wp:extent cx="5271135" cy="1369060"/>
            <wp:effectExtent l="0" t="0" r="5715" b="25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5271135" cy="1369060"/>
                    </a:xfrm>
                    <a:prstGeom prst="rect">
                      <a:avLst/>
                    </a:prstGeom>
                    <a:noFill/>
                    <a:ln>
                      <a:noFill/>
                    </a:ln>
                  </pic:spPr>
                </pic:pic>
              </a:graphicData>
            </a:graphic>
          </wp:inline>
        </w:drawing>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随着网络规模迅速扩大，单台甚至两台核心交换机的转发能力已经不能满足需求时。核心层最多能够支持四台框式核心交换机虚拟化成一台核心交换机。四台核心交换机组成的IRF虚拟化组，能够提高核心节点的承载能力，使网络易管理、易维护。接入层交换机同样支持多台设备虚拟化能力，在终端增长时能够有效适应需求的变化，配合核心交换机虚拟化保持整网能力的弹性扩展。</w:t>
      </w:r>
    </w:p>
    <w:p>
      <w:pPr>
        <w:pStyle w:val="6"/>
        <w:spacing w:line="360" w:lineRule="auto"/>
        <w:rPr>
          <w:szCs w:val="24"/>
        </w:rPr>
      </w:pPr>
      <w:bookmarkStart w:id="24" w:name="_Toc526592212"/>
      <w:bookmarkStart w:id="25" w:name="_Toc15300418"/>
      <w:r>
        <w:rPr>
          <w:rFonts w:hint="eastAsia"/>
          <w:szCs w:val="24"/>
        </w:rPr>
        <w:t>智能的运维管理</w:t>
      </w:r>
      <w:bookmarkEnd w:id="24"/>
      <w:bookmarkEnd w:id="25"/>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通过内嵌的、面向业务的</w:t>
      </w:r>
      <w:r>
        <w:rPr>
          <w:rFonts w:asciiTheme="minorEastAsia" w:hAnsiTheme="minorEastAsia"/>
          <w:sz w:val="24"/>
          <w:szCs w:val="24"/>
        </w:rPr>
        <w:t>Smart MC</w:t>
      </w:r>
      <w:r>
        <w:rPr>
          <w:rFonts w:hint="eastAsia" w:asciiTheme="minorEastAsia" w:hAnsiTheme="minorEastAsia"/>
          <w:sz w:val="24"/>
          <w:szCs w:val="24"/>
        </w:rPr>
        <w:t>（智能管理中心）提供智能的网络管理方案。</w:t>
      </w:r>
      <w:r>
        <w:rPr>
          <w:rFonts w:asciiTheme="minorEastAsia" w:hAnsiTheme="minorEastAsia"/>
          <w:sz w:val="24"/>
          <w:szCs w:val="24"/>
        </w:rPr>
        <w:t>Smart MC</w:t>
      </w:r>
      <w:r>
        <w:rPr>
          <w:rFonts w:hint="eastAsia" w:asciiTheme="minorEastAsia" w:hAnsiTheme="minorEastAsia"/>
          <w:sz w:val="24"/>
          <w:szCs w:val="24"/>
        </w:rPr>
        <w:t>支持一键式端口布防、端口vlan部署、端口认证及 ARP防攻击，实现业务快速部署；</w:t>
      </w:r>
      <w:r>
        <w:rPr>
          <w:rFonts w:asciiTheme="minorEastAsia" w:hAnsiTheme="minorEastAsia"/>
          <w:sz w:val="24"/>
          <w:szCs w:val="24"/>
        </w:rPr>
        <w:t>Smart MC</w:t>
      </w:r>
      <w:r>
        <w:rPr>
          <w:rFonts w:hint="eastAsia" w:asciiTheme="minorEastAsia" w:hAnsiTheme="minorEastAsia"/>
          <w:sz w:val="24"/>
          <w:szCs w:val="24"/>
        </w:rPr>
        <w:t>支持链路Link状态和转发性能监控、设备MAC/ARP/路由表项/CPU/内存利用率监控以及设备状态监控(温度/风扇状态)，能够对网络设备及链路实现全面监控；</w:t>
      </w:r>
      <w:r>
        <w:rPr>
          <w:rFonts w:asciiTheme="minorEastAsia" w:hAnsiTheme="minorEastAsia"/>
          <w:sz w:val="24"/>
          <w:szCs w:val="24"/>
        </w:rPr>
        <w:t>Smart MC</w:t>
      </w:r>
      <w:r>
        <w:rPr>
          <w:rFonts w:hint="eastAsia" w:asciiTheme="minorEastAsia" w:hAnsiTheme="minorEastAsia"/>
          <w:sz w:val="24"/>
          <w:szCs w:val="24"/>
        </w:rPr>
        <w:t>支持可视化展示，实时呈现网络级拓扑图，动态刷新每条链路上下行带宽，显示设备故障次数、 服务时间,、设备关键信息摘要列表等。</w:t>
      </w:r>
    </w:p>
    <w:p>
      <w:pPr>
        <w:spacing w:line="360" w:lineRule="auto"/>
        <w:ind w:firstLine="480" w:firstLineChars="200"/>
        <w:rPr>
          <w:rFonts w:asciiTheme="minorEastAsia" w:hAnsiTheme="minorEastAsia"/>
          <w:sz w:val="24"/>
          <w:szCs w:val="24"/>
        </w:rPr>
      </w:pPr>
      <w:r>
        <w:rPr>
          <w:rFonts w:asciiTheme="minorEastAsia" w:hAnsiTheme="minorEastAsia"/>
          <w:sz w:val="24"/>
          <w:szCs w:val="24"/>
        </w:rPr>
        <w:t>iMC采用面向服务（SOA）开放的设计，基于B/S架构，可以与其他业务组件有效集成，提供灵活的组件化结构，融合统一管理业务、资源和用户三大IT组成要素，按需装配功能组件与相应的硬件设备配合，形成直接面向应用需求的整体解决方案。用户可以根据自己的管理需要和网络情况灵活选择，实现网络资源、用户和业务的融合管理，提供基本的网络资源管理、拓扑管理、故障管理、性能管理、用户管理及系统安全管理。不仅支持H3C全线数据通信产品的管理，也可通过标准mib实现对Cisco、</w:t>
      </w:r>
      <w:r>
        <w:rPr>
          <w:rFonts w:hint="eastAsia" w:asciiTheme="minorEastAsia" w:hAnsiTheme="minorEastAsia"/>
          <w:sz w:val="24"/>
          <w:szCs w:val="24"/>
        </w:rPr>
        <w:t>华为</w:t>
      </w:r>
      <w:r>
        <w:rPr>
          <w:rFonts w:asciiTheme="minorEastAsia" w:hAnsiTheme="minorEastAsia"/>
          <w:sz w:val="24"/>
          <w:szCs w:val="24"/>
        </w:rPr>
        <w:t>等各主流厂商的数据通信设备管理。</w:t>
      </w:r>
    </w:p>
    <w:p>
      <w:pPr>
        <w:pStyle w:val="129"/>
        <w:numPr>
          <w:ilvl w:val="0"/>
          <w:numId w:val="11"/>
        </w:numPr>
        <w:spacing w:line="360" w:lineRule="auto"/>
        <w:ind w:firstLineChars="0"/>
        <w:rPr>
          <w:rFonts w:asciiTheme="minorEastAsia" w:hAnsiTheme="minorEastAsia"/>
          <w:sz w:val="24"/>
          <w:szCs w:val="24"/>
        </w:rPr>
      </w:pPr>
      <w:r>
        <w:rPr>
          <w:rFonts w:hint="eastAsia" w:asciiTheme="minorEastAsia" w:hAnsiTheme="minorEastAsia"/>
          <w:sz w:val="24"/>
          <w:szCs w:val="24"/>
        </w:rPr>
        <w:t>标准化和开放性</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支持SNMP/TR069/Radius等多种标准协议，提供园区和广域网的设备和业务管理。</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能够支持多个厂商的设备，如华为、CISCO等，保证管理的兼容性。</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提供SOAP接口，向第三方OSS或网管系统开放接口构建增值价值链，方便未来新应用系统的灵活调用集成，从而实现业务的增值。iMC支持和IBM Netview、HP OpenView和SNMPc集成。这些网管平台可直接调用iMC设备面板、查看和管理该设备。</w:t>
      </w:r>
    </w:p>
    <w:p>
      <w:pPr>
        <w:pStyle w:val="129"/>
        <w:numPr>
          <w:ilvl w:val="0"/>
          <w:numId w:val="11"/>
        </w:numPr>
        <w:spacing w:line="360" w:lineRule="auto"/>
        <w:ind w:firstLineChars="0"/>
        <w:rPr>
          <w:rFonts w:asciiTheme="minorEastAsia" w:hAnsiTheme="minorEastAsia"/>
          <w:sz w:val="24"/>
          <w:szCs w:val="24"/>
        </w:rPr>
      </w:pPr>
      <w:r>
        <w:rPr>
          <w:rFonts w:hint="eastAsia" w:asciiTheme="minorEastAsia" w:hAnsiTheme="minorEastAsia"/>
          <w:sz w:val="24"/>
          <w:szCs w:val="24"/>
        </w:rPr>
        <w:t>网络与</w:t>
      </w:r>
      <w:r>
        <w:rPr>
          <w:rFonts w:asciiTheme="minorEastAsia" w:hAnsiTheme="minorEastAsia"/>
          <w:sz w:val="24"/>
          <w:szCs w:val="24"/>
        </w:rPr>
        <w:t>用户的统一</w:t>
      </w:r>
      <w:r>
        <w:rPr>
          <w:rFonts w:hint="eastAsia" w:asciiTheme="minorEastAsia" w:hAnsiTheme="minorEastAsia"/>
          <w:sz w:val="24"/>
          <w:szCs w:val="24"/>
        </w:rPr>
        <w:t>管理</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支持资源管理、拓扑管理、性能监控、告警管理和智能报表等的基础资源管理。</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支持用户内网安全准入管理、SSL VPN外网安全接入管理、以及用户上网审计、计费管理等。</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支持网络业务的管理，包括安全管理、QoS管理、ACL和VLAN管理、分支网络动态接入管理、数据中心网络和服务器管理、应用性能管理、无线管理、语音业务管理等等。</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支持网络业务生命周期(鉴权、部署、监视、调整、审计)的ITIL全流程管理。</w:t>
      </w:r>
    </w:p>
    <w:p>
      <w:pPr>
        <w:pStyle w:val="129"/>
        <w:numPr>
          <w:ilvl w:val="0"/>
          <w:numId w:val="11"/>
        </w:numPr>
        <w:spacing w:line="360" w:lineRule="auto"/>
        <w:ind w:firstLineChars="0"/>
        <w:rPr>
          <w:rFonts w:asciiTheme="minorEastAsia" w:hAnsiTheme="minorEastAsia"/>
          <w:sz w:val="24"/>
          <w:szCs w:val="24"/>
        </w:rPr>
      </w:pPr>
      <w:r>
        <w:rPr>
          <w:rFonts w:hint="eastAsia" w:asciiTheme="minorEastAsia" w:hAnsiTheme="minorEastAsia"/>
          <w:sz w:val="24"/>
          <w:szCs w:val="24"/>
        </w:rPr>
        <w:t>分级分权分域管理架构</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分级管理：指建立分级网管关系，包括从上级网管的网页和拓扑中可登录下级网管，下级网管需上报重要告警给上级网管等。</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分权管理：将管理者分成三种权限：即管理员、维护员和查看员。</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管理员：拥有所有操作执行和资源访问权限；</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维护员：具有除了管理员独有的操作外的所有操作执行权限和指定资源的访问权限；</w:t>
      </w:r>
    </w:p>
    <w:p>
      <w:pPr>
        <w:spacing w:line="360" w:lineRule="auto"/>
        <w:ind w:firstLine="480" w:firstLineChars="200"/>
        <w:rPr>
          <w:rFonts w:asciiTheme="minorEastAsia" w:hAnsiTheme="minorEastAsia"/>
          <w:sz w:val="24"/>
          <w:szCs w:val="24"/>
        </w:rPr>
      </w:pPr>
      <w:r>
        <w:rPr>
          <w:rFonts w:hint="eastAsia" w:asciiTheme="minorEastAsia" w:hAnsiTheme="minorEastAsia"/>
          <w:sz w:val="24"/>
          <w:szCs w:val="24"/>
        </w:rPr>
        <w:t>查看员：具有查看权限和指定资源的访问权限。</w:t>
      </w:r>
    </w:p>
    <w:p>
      <w:pPr>
        <w:spacing w:line="360" w:lineRule="auto"/>
        <w:ind w:left="0"/>
        <w:rPr>
          <w:rFonts w:asciiTheme="minorEastAsia" w:hAnsiTheme="minorEastAsia"/>
          <w:sz w:val="24"/>
          <w:szCs w:val="24"/>
        </w:rPr>
      </w:pPr>
      <w:r>
        <w:rPr>
          <w:rFonts w:hint="eastAsia" w:asciiTheme="minorEastAsia" w:hAnsiTheme="minorEastAsia"/>
          <w:sz w:val="24"/>
          <w:szCs w:val="24"/>
        </w:rPr>
        <w:t>分域管理：为管理员指定不同的功能管理范围，比如数据中心网络、广域和园区网络分别赋予；</w:t>
      </w:r>
    </w:p>
    <w:p>
      <w:pPr>
        <w:pStyle w:val="4"/>
        <w:rPr>
          <w:sz w:val="24"/>
          <w:szCs w:val="24"/>
        </w:rPr>
      </w:pPr>
      <w:bookmarkStart w:id="26" w:name="_Toc54343069"/>
      <w:r>
        <w:rPr>
          <w:rFonts w:hint="eastAsia"/>
          <w:sz w:val="24"/>
          <w:szCs w:val="24"/>
        </w:rPr>
        <w:t>超融合资源池设计</w:t>
      </w:r>
      <w:bookmarkEnd w:id="26"/>
    </w:p>
    <w:p>
      <w:pPr>
        <w:pStyle w:val="5"/>
        <w:rPr>
          <w:sz w:val="24"/>
          <w:szCs w:val="24"/>
        </w:rPr>
      </w:pPr>
      <w:bookmarkStart w:id="27" w:name="_Toc54343070"/>
      <w:r>
        <w:rPr>
          <w:rFonts w:hint="eastAsia"/>
          <w:sz w:val="24"/>
          <w:szCs w:val="24"/>
        </w:rPr>
        <w:t>集群和资源池设计</w:t>
      </w:r>
      <w:bookmarkEnd w:id="27"/>
    </w:p>
    <w:p>
      <w:pPr>
        <w:pStyle w:val="32"/>
        <w:spacing w:line="360" w:lineRule="auto"/>
        <w:ind w:firstLine="420"/>
      </w:pPr>
      <w:r>
        <w:rPr>
          <w:rFonts w:hint="eastAsia" w:ascii="Arial" w:hAnsi="Arial" w:cs="Arial"/>
          <w:kern w:val="2"/>
        </w:rPr>
        <w:t>超融合集群和</w:t>
      </w:r>
      <w:r>
        <w:rPr>
          <w:rFonts w:ascii="Arial" w:hAnsi="Arial" w:cs="Arial"/>
          <w:kern w:val="2"/>
        </w:rPr>
        <w:t>资源</w:t>
      </w:r>
      <w:r>
        <w:rPr>
          <w:rFonts w:hint="eastAsia" w:ascii="Arial" w:hAnsi="Arial" w:cs="Arial"/>
          <w:kern w:val="2"/>
        </w:rPr>
        <w:t>池设计</w:t>
      </w:r>
      <w:r>
        <w:rPr>
          <w:rFonts w:ascii="Arial" w:hAnsi="Arial" w:cs="Arial"/>
          <w:kern w:val="2"/>
        </w:rPr>
        <w:t>，</w:t>
      </w:r>
      <w:r>
        <w:rPr>
          <w:rFonts w:hint="eastAsia" w:ascii="Arial" w:hAnsi="Arial" w:cs="Arial"/>
          <w:kern w:val="2"/>
        </w:rPr>
        <w:t>既要</w:t>
      </w:r>
      <w:r>
        <w:rPr>
          <w:rFonts w:ascii="Arial" w:hAnsi="Arial" w:cs="Arial"/>
          <w:kern w:val="2"/>
        </w:rPr>
        <w:t>保证资源</w:t>
      </w:r>
      <w:r>
        <w:rPr>
          <w:rFonts w:hint="eastAsia" w:ascii="Arial" w:hAnsi="Arial" w:cs="Arial"/>
          <w:kern w:val="2"/>
        </w:rPr>
        <w:t>足以</w:t>
      </w:r>
      <w:r>
        <w:rPr>
          <w:rFonts w:ascii="Arial" w:hAnsi="Arial" w:cs="Arial"/>
          <w:kern w:val="2"/>
        </w:rPr>
        <w:t>支撑业务，也要</w:t>
      </w:r>
      <w:r>
        <w:rPr>
          <w:rFonts w:hint="eastAsia" w:ascii="Arial" w:hAnsi="Arial" w:cs="Arial"/>
          <w:kern w:val="2"/>
        </w:rPr>
        <w:t>保证</w:t>
      </w:r>
      <w:r>
        <w:rPr>
          <w:rFonts w:ascii="Arial" w:hAnsi="Arial" w:cs="Arial"/>
          <w:kern w:val="2"/>
        </w:rPr>
        <w:t>资源是被充分利用</w:t>
      </w:r>
      <w:r>
        <w:rPr>
          <w:rFonts w:hint="eastAsia" w:ascii="Arial" w:hAnsi="Arial" w:cs="Arial"/>
          <w:kern w:val="2"/>
        </w:rPr>
        <w:t>的</w:t>
      </w:r>
      <w:r>
        <w:rPr>
          <w:rFonts w:ascii="Arial" w:hAnsi="Arial" w:cs="Arial"/>
          <w:kern w:val="2"/>
        </w:rPr>
        <w:t>。</w:t>
      </w:r>
      <w:r>
        <w:rPr>
          <w:rFonts w:hint="eastAsia" w:ascii="Arial" w:hAnsi="Arial" w:cs="Arial"/>
          <w:kern w:val="2"/>
        </w:rPr>
        <w:t>同时</w:t>
      </w:r>
      <w:r>
        <w:rPr>
          <w:rFonts w:ascii="Arial" w:hAnsi="Arial" w:cs="Arial"/>
          <w:kern w:val="2"/>
        </w:rPr>
        <w:t>，</w:t>
      </w:r>
      <w:r>
        <w:rPr>
          <w:rFonts w:hint="eastAsia" w:ascii="Arial" w:hAnsi="Arial" w:cs="Arial"/>
          <w:kern w:val="2"/>
        </w:rPr>
        <w:t>超融合</w:t>
      </w:r>
      <w:r>
        <w:rPr>
          <w:rFonts w:ascii="Arial" w:hAnsi="Arial" w:cs="Arial"/>
          <w:kern w:val="2"/>
        </w:rPr>
        <w:t>集群</w:t>
      </w:r>
      <w:r>
        <w:rPr>
          <w:rFonts w:hint="eastAsia" w:ascii="Arial" w:hAnsi="Arial" w:cs="Arial"/>
          <w:kern w:val="2"/>
        </w:rPr>
        <w:t>也</w:t>
      </w:r>
      <w:r>
        <w:rPr>
          <w:rFonts w:ascii="Arial" w:hAnsi="Arial" w:cs="Arial"/>
          <w:kern w:val="2"/>
        </w:rPr>
        <w:t>要适应各类需求。</w:t>
      </w:r>
      <w:r>
        <w:rPr>
          <w:rFonts w:hint="eastAsia" w:ascii="Arial" w:hAnsi="Arial" w:cs="Arial"/>
          <w:kern w:val="2"/>
        </w:rPr>
        <w:t>依据需求</w:t>
      </w:r>
      <w:r>
        <w:rPr>
          <w:rFonts w:ascii="Arial" w:hAnsi="Arial" w:cs="Arial"/>
          <w:kern w:val="2"/>
        </w:rPr>
        <w:t>不同，</w:t>
      </w:r>
      <w:r>
        <w:rPr>
          <w:rFonts w:hint="eastAsia" w:ascii="Arial" w:hAnsi="Arial" w:cs="Arial"/>
          <w:kern w:val="2"/>
        </w:rPr>
        <w:t>集群</w:t>
      </w:r>
      <w:r>
        <w:rPr>
          <w:rFonts w:ascii="Arial" w:hAnsi="Arial" w:cs="Arial"/>
          <w:kern w:val="2"/>
        </w:rPr>
        <w:t>数量、节点种类可以灵活变化，而且</w:t>
      </w:r>
      <w:r>
        <w:rPr>
          <w:rFonts w:hint="eastAsia" w:ascii="Arial" w:hAnsi="Arial" w:cs="Arial"/>
          <w:kern w:val="2"/>
        </w:rPr>
        <w:t>还</w:t>
      </w:r>
      <w:r>
        <w:rPr>
          <w:rFonts w:ascii="Arial" w:hAnsi="Arial" w:cs="Arial"/>
          <w:kern w:val="2"/>
        </w:rPr>
        <w:t>可以</w:t>
      </w:r>
      <w:r>
        <w:rPr>
          <w:rFonts w:hint="eastAsia" w:ascii="Arial" w:hAnsi="Arial" w:cs="Arial"/>
          <w:kern w:val="2"/>
        </w:rPr>
        <w:t>统一</w:t>
      </w:r>
      <w:r>
        <w:rPr>
          <w:rFonts w:ascii="Arial" w:hAnsi="Arial" w:cs="Arial"/>
          <w:kern w:val="2"/>
        </w:rPr>
        <w:t>管理，</w:t>
      </w:r>
      <w:r>
        <w:rPr>
          <w:rFonts w:hint="eastAsia"/>
        </w:rPr>
        <w:t>在</w:t>
      </w:r>
      <w:r>
        <w:t>统一界面</w:t>
      </w:r>
      <w:r>
        <w:rPr>
          <w:rFonts w:hint="eastAsia"/>
        </w:rPr>
        <w:t>上</w:t>
      </w:r>
      <w:r>
        <w:t>处理资源分配、</w:t>
      </w:r>
      <w:r>
        <w:rPr>
          <w:rFonts w:hint="eastAsia"/>
        </w:rPr>
        <w:t>运维</w:t>
      </w:r>
      <w:r>
        <w:t>监控等。</w:t>
      </w:r>
    </w:p>
    <w:p>
      <w:pPr>
        <w:pStyle w:val="32"/>
        <w:spacing w:line="360" w:lineRule="auto"/>
        <w:ind w:firstLine="420"/>
        <w:rPr>
          <w:b/>
        </w:rPr>
      </w:pPr>
      <w:r>
        <w:rPr>
          <w:rFonts w:hint="eastAsia"/>
          <w:b/>
        </w:rPr>
        <w:t>单集群兼容</w:t>
      </w:r>
      <w:r>
        <w:rPr>
          <w:b/>
        </w:rPr>
        <w:t>多</w:t>
      </w:r>
      <w:r>
        <w:rPr>
          <w:rFonts w:hint="eastAsia"/>
          <w:b/>
        </w:rPr>
        <w:t>类</w:t>
      </w:r>
      <w:r>
        <w:rPr>
          <w:b/>
        </w:rPr>
        <w:t>节点</w:t>
      </w:r>
      <w:r>
        <w:rPr>
          <w:rFonts w:hint="eastAsia"/>
          <w:b/>
        </w:rPr>
        <w:t>，统一</w:t>
      </w:r>
      <w:r>
        <w:rPr>
          <w:b/>
        </w:rPr>
        <w:t>管理</w:t>
      </w:r>
    </w:p>
    <w:p>
      <w:pPr>
        <w:pStyle w:val="32"/>
        <w:spacing w:line="360" w:lineRule="auto"/>
        <w:ind w:firstLine="420"/>
      </w:pPr>
      <w:r>
        <w:rPr>
          <w:rFonts w:hint="eastAsia"/>
        </w:rPr>
        <w:t>在上文中</w:t>
      </w:r>
      <w:r>
        <w:t>提到，</w:t>
      </w:r>
      <w:r>
        <w:rPr>
          <w:rFonts w:hint="eastAsia"/>
        </w:rPr>
        <w:t>按照节点类型</w:t>
      </w:r>
      <w:r>
        <w:t>的不同，可以</w:t>
      </w:r>
      <w:r>
        <w:rPr>
          <w:rFonts w:hint="eastAsia"/>
        </w:rPr>
        <w:t>分</w:t>
      </w:r>
      <w:r>
        <w:t>多</w:t>
      </w:r>
      <w:r>
        <w:rPr>
          <w:rFonts w:hint="eastAsia"/>
        </w:rPr>
        <w:t>个</w:t>
      </w:r>
      <w:r>
        <w:t>集群</w:t>
      </w:r>
      <w:r>
        <w:rPr>
          <w:rFonts w:hint="eastAsia"/>
        </w:rPr>
        <w:t>，</w:t>
      </w:r>
      <w:r>
        <w:t>每个集群是一类节点</w:t>
      </w:r>
      <w:r>
        <w:rPr>
          <w:rFonts w:hint="eastAsia"/>
        </w:rPr>
        <w:t>，而这些往往</w:t>
      </w:r>
      <w:r>
        <w:t>是在资源</w:t>
      </w:r>
      <w:r>
        <w:rPr>
          <w:rFonts w:hint="eastAsia"/>
        </w:rPr>
        <w:t>条件</w:t>
      </w:r>
      <w:r>
        <w:t>较为充裕情况</w:t>
      </w:r>
      <w:r>
        <w:rPr>
          <w:rFonts w:hint="eastAsia"/>
        </w:rPr>
        <w:t>下的方案</w:t>
      </w:r>
      <w:r>
        <w:t>。</w:t>
      </w:r>
      <w:r>
        <w:rPr>
          <w:rFonts w:hint="eastAsia"/>
        </w:rPr>
        <w:t>除此</w:t>
      </w:r>
      <w:r>
        <w:t>之外，还需要考虑</w:t>
      </w:r>
      <w:r>
        <w:rPr>
          <w:rFonts w:hint="eastAsia"/>
        </w:rPr>
        <w:t>到</w:t>
      </w:r>
      <w:r>
        <w:t>资源有限的情况下，</w:t>
      </w:r>
      <w:r>
        <w:rPr>
          <w:rFonts w:hint="eastAsia"/>
        </w:rPr>
        <w:t>例如</w:t>
      </w:r>
      <w:r>
        <w:t>单集群的时候，</w:t>
      </w:r>
      <w:r>
        <w:rPr>
          <w:rFonts w:hint="eastAsia"/>
        </w:rPr>
        <w:t>但</w:t>
      </w:r>
      <w:r>
        <w:t>同时又对计算和存储</w:t>
      </w:r>
      <w:r>
        <w:rPr>
          <w:rFonts w:hint="eastAsia"/>
        </w:rPr>
        <w:t>资源存在不同</w:t>
      </w:r>
      <w:r>
        <w:t>的要求，</w:t>
      </w:r>
      <w:r>
        <w:rPr>
          <w:rFonts w:hint="eastAsia"/>
        </w:rPr>
        <w:t>需要对</w:t>
      </w:r>
      <w:r>
        <w:t>某种资源侧重</w:t>
      </w:r>
      <w:r>
        <w:rPr>
          <w:rFonts w:hint="eastAsia"/>
        </w:rPr>
        <w:t>。这时</w:t>
      </w:r>
      <w:r>
        <w:t>，</w:t>
      </w:r>
      <w:r>
        <w:rPr>
          <w:rFonts w:hint="eastAsia"/>
        </w:rPr>
        <w:t>就需要单</w:t>
      </w:r>
      <w:r>
        <w:t>集群同时纳管</w:t>
      </w:r>
      <w:r>
        <w:rPr>
          <w:rFonts w:hint="eastAsia"/>
        </w:rPr>
        <w:t>2种</w:t>
      </w:r>
      <w:r>
        <w:t>及以上类型的节点，</w:t>
      </w:r>
      <w:r>
        <w:rPr>
          <w:rFonts w:hint="eastAsia"/>
        </w:rPr>
        <w:t>比如</w:t>
      </w:r>
      <w:r>
        <w:t>一半节点是计算型，一半节点是融合性节点。</w:t>
      </w:r>
      <w:r>
        <w:rPr>
          <w:rFonts w:hint="eastAsia"/>
        </w:rPr>
        <w:t>该</w:t>
      </w:r>
      <w:r>
        <w:t>集群中的计算资源明显是</w:t>
      </w:r>
      <w:r>
        <w:rPr>
          <w:rFonts w:hint="eastAsia"/>
        </w:rPr>
        <w:t>相对</w:t>
      </w:r>
      <w:r>
        <w:t>充裕，可以承载高计算需求的。</w:t>
      </w:r>
    </w:p>
    <w:p>
      <w:pPr>
        <w:pStyle w:val="32"/>
        <w:spacing w:line="360" w:lineRule="auto"/>
        <w:ind w:firstLine="420"/>
      </w:pPr>
      <w:r>
        <w:rPr>
          <w:rFonts w:hint="eastAsia"/>
        </w:rPr>
        <w:t>在对</w:t>
      </w:r>
      <w:r>
        <w:t>计算能力有很高要求的</w:t>
      </w:r>
      <w:r>
        <w:rPr>
          <w:rFonts w:hint="eastAsia"/>
        </w:rPr>
        <w:t>数值</w:t>
      </w:r>
      <w:r>
        <w:t>计算场景下</w:t>
      </w:r>
      <w:r>
        <w:rPr>
          <w:rFonts w:hint="eastAsia"/>
        </w:rPr>
        <w:t>，</w:t>
      </w:r>
      <w:r>
        <w:t>一个</w:t>
      </w:r>
      <w:r>
        <w:rPr>
          <w:rFonts w:hint="eastAsia"/>
        </w:rPr>
        <w:t>6节点</w:t>
      </w:r>
      <w:r>
        <w:t>集群，，</w:t>
      </w:r>
      <w:r>
        <w:rPr>
          <w:rFonts w:hint="eastAsia"/>
        </w:rPr>
        <w:t>可</w:t>
      </w:r>
      <w:r>
        <w:t>配置</w:t>
      </w:r>
      <w:r>
        <w:rPr>
          <w:rFonts w:hint="eastAsia"/>
        </w:rPr>
        <w:t>3个</w:t>
      </w:r>
      <w:r>
        <w:t>计算型节点，配置</w:t>
      </w:r>
      <w:r>
        <w:rPr>
          <w:rFonts w:hint="eastAsia"/>
        </w:rPr>
        <w:t>多路CPU和高配</w:t>
      </w:r>
      <w:r>
        <w:t>内存，</w:t>
      </w:r>
      <w:r>
        <w:rPr>
          <w:rFonts w:hint="eastAsia"/>
        </w:rPr>
        <w:t>满足高频</w:t>
      </w:r>
      <w:r>
        <w:t>的复杂的计算，</w:t>
      </w:r>
      <w:r>
        <w:rPr>
          <w:rFonts w:hint="eastAsia"/>
        </w:rPr>
        <w:t>剩余</w:t>
      </w:r>
      <w:r>
        <w:t>的</w:t>
      </w:r>
      <w:r>
        <w:rPr>
          <w:rFonts w:hint="eastAsia"/>
        </w:rPr>
        <w:t>3节点为</w:t>
      </w:r>
      <w:r>
        <w:t>融合性</w:t>
      </w:r>
      <w:r>
        <w:rPr>
          <w:rFonts w:hint="eastAsia"/>
        </w:rPr>
        <w:t>，计算</w:t>
      </w:r>
      <w:r>
        <w:t>和存储资源均衡，而这个存储资源是</w:t>
      </w:r>
      <w:r>
        <w:rPr>
          <w:rFonts w:hint="eastAsia"/>
        </w:rPr>
        <w:t>可以</w:t>
      </w:r>
      <w:r>
        <w:t>供整个集群使用的。</w:t>
      </w:r>
      <w:r>
        <w:rPr>
          <w:rFonts w:hint="eastAsia"/>
        </w:rPr>
        <w:t>这就是</w:t>
      </w:r>
      <w:r>
        <w:t>一个典型的充分</w:t>
      </w:r>
      <w:r>
        <w:rPr>
          <w:rFonts w:hint="eastAsia"/>
        </w:rPr>
        <w:t>利用</w:t>
      </w:r>
      <w:r>
        <w:t>资源，合理</w:t>
      </w:r>
      <w:r>
        <w:rPr>
          <w:rFonts w:hint="eastAsia"/>
        </w:rPr>
        <w:t>选择</w:t>
      </w:r>
      <w:r>
        <w:t>节点的案例。</w:t>
      </w:r>
    </w:p>
    <w:p>
      <w:pPr>
        <w:pStyle w:val="32"/>
        <w:spacing w:line="360" w:lineRule="auto"/>
        <w:ind w:firstLine="420"/>
        <w:rPr>
          <w:b/>
        </w:rPr>
      </w:pPr>
      <w:r>
        <w:rPr>
          <w:rFonts w:hint="eastAsia"/>
          <w:b/>
        </w:rPr>
        <w:t>单集群内多硬盘池，</w:t>
      </w:r>
      <w:r>
        <w:rPr>
          <w:b/>
        </w:rPr>
        <w:t>满足不同存储需要</w:t>
      </w:r>
    </w:p>
    <w:p>
      <w:pPr>
        <w:pStyle w:val="32"/>
        <w:spacing w:line="360" w:lineRule="auto"/>
        <w:ind w:firstLine="420"/>
      </w:pPr>
      <w:r>
        <w:rPr>
          <w:rFonts w:hint="eastAsia"/>
        </w:rPr>
        <w:t>单集群</w:t>
      </w:r>
      <w:r>
        <w:t>可以通过</w:t>
      </w:r>
      <w:r>
        <w:rPr>
          <w:rFonts w:hint="eastAsia"/>
        </w:rPr>
        <w:t>不同</w:t>
      </w:r>
      <w:r>
        <w:t>类型的节点满足对计算、存储等资源的</w:t>
      </w:r>
      <w:r>
        <w:rPr>
          <w:rFonts w:hint="eastAsia"/>
        </w:rPr>
        <w:t>侧重</w:t>
      </w:r>
      <w:r>
        <w:t>，但是</w:t>
      </w:r>
      <w:r>
        <w:rPr>
          <w:rFonts w:hint="eastAsia"/>
        </w:rPr>
        <w:t>同一类资源</w:t>
      </w:r>
      <w:r>
        <w:t>内也</w:t>
      </w:r>
      <w:r>
        <w:rPr>
          <w:rFonts w:hint="eastAsia"/>
        </w:rPr>
        <w:t>是</w:t>
      </w:r>
      <w:r>
        <w:t>有更细化的不同需求，就像存储资源。各类业务对存储的要求是</w:t>
      </w:r>
      <w:r>
        <w:rPr>
          <w:rFonts w:hint="eastAsia"/>
        </w:rPr>
        <w:t>多种多样的</w:t>
      </w:r>
      <w:r>
        <w:t>，有对容量的要求，有</w:t>
      </w:r>
      <w:r>
        <w:rPr>
          <w:rFonts w:hint="eastAsia"/>
        </w:rPr>
        <w:t>对</w:t>
      </w:r>
      <w:r>
        <w:t>时延的要求，有对</w:t>
      </w:r>
      <w:r>
        <w:rPr>
          <w:rFonts w:hint="eastAsia"/>
        </w:rPr>
        <w:t>IOPS的</w:t>
      </w:r>
      <w:r>
        <w:t>要求。</w:t>
      </w:r>
    </w:p>
    <w:p>
      <w:pPr>
        <w:pStyle w:val="32"/>
        <w:spacing w:line="360" w:lineRule="auto"/>
        <w:ind w:firstLine="420"/>
      </w:pPr>
      <w:r>
        <w:t>大体</w:t>
      </w:r>
      <w:r>
        <w:rPr>
          <w:rFonts w:hint="eastAsia"/>
        </w:rPr>
        <w:t>可以</w:t>
      </w:r>
      <w:r>
        <w:t>归为两大类，</w:t>
      </w:r>
      <w:r>
        <w:rPr>
          <w:rFonts w:hint="eastAsia"/>
        </w:rPr>
        <w:t>一类</w:t>
      </w:r>
      <w:r>
        <w:t>是高性能，满足对延时对</w:t>
      </w:r>
      <w:r>
        <w:rPr>
          <w:rFonts w:hint="eastAsia"/>
        </w:rPr>
        <w:t>IOPS有</w:t>
      </w:r>
      <w:r>
        <w:t>要求的业务，例如医院的</w:t>
      </w:r>
      <w:r>
        <w:rPr>
          <w:rFonts w:hint="eastAsia"/>
        </w:rPr>
        <w:t>HIS系统、</w:t>
      </w:r>
      <w:r>
        <w:t>金融的高频交易</w:t>
      </w:r>
      <w:r>
        <w:rPr>
          <w:rFonts w:hint="eastAsia"/>
        </w:rPr>
        <w:t>、互联网</w:t>
      </w:r>
      <w:r>
        <w:t>的电商平台</w:t>
      </w:r>
      <w:r>
        <w:rPr>
          <w:rFonts w:hint="eastAsia"/>
        </w:rPr>
        <w:t>等，</w:t>
      </w:r>
      <w:r>
        <w:t>他们需要频繁对存储随机读写。</w:t>
      </w:r>
      <w:r>
        <w:rPr>
          <w:rFonts w:hint="eastAsia"/>
        </w:rPr>
        <w:t>还有</w:t>
      </w:r>
      <w:r>
        <w:t>一类是高容量，例如</w:t>
      </w:r>
      <w:r>
        <w:rPr>
          <w:rFonts w:hint="eastAsia"/>
        </w:rPr>
        <w:t>医院保存影像的PACS、各类</w:t>
      </w:r>
      <w:r>
        <w:t>档案日志、</w:t>
      </w:r>
      <w:r>
        <w:rPr>
          <w:rFonts w:hint="eastAsia"/>
        </w:rPr>
        <w:t>视频</w:t>
      </w:r>
      <w:r>
        <w:t>图片的存取，都是需要很大的容量</w:t>
      </w:r>
      <w:r>
        <w:rPr>
          <w:rFonts w:hint="eastAsia"/>
        </w:rPr>
        <w:t>，</w:t>
      </w:r>
      <w:r>
        <w:t>但是一般都是顺序存取，访问频率一般。在此之上，还</w:t>
      </w:r>
      <w:r>
        <w:rPr>
          <w:rFonts w:hint="eastAsia"/>
        </w:rPr>
        <w:t>要</w:t>
      </w:r>
      <w:r>
        <w:t>叠加不同</w:t>
      </w:r>
      <w:r>
        <w:rPr>
          <w:rFonts w:hint="eastAsia"/>
        </w:rPr>
        <w:t>的</w:t>
      </w:r>
      <w:r>
        <w:t>冗余策略</w:t>
      </w:r>
      <w:r>
        <w:rPr>
          <w:rFonts w:hint="eastAsia"/>
        </w:rPr>
        <w:t>，</w:t>
      </w:r>
      <w:r>
        <w:t>二副本、三副本</w:t>
      </w:r>
      <w:r>
        <w:rPr>
          <w:rFonts w:hint="eastAsia"/>
        </w:rPr>
        <w:t>，</w:t>
      </w:r>
      <w:r>
        <w:t>基于资源的最大化使用，三副本保存重要的数据，二副本可以保存非核心业务，</w:t>
      </w:r>
      <w:r>
        <w:rPr>
          <w:rFonts w:hint="eastAsia"/>
        </w:rPr>
        <w:t>有利于</w:t>
      </w:r>
      <w:r>
        <w:t>成本的平衡。</w:t>
      </w:r>
    </w:p>
    <w:p>
      <w:pPr>
        <w:pStyle w:val="32"/>
        <w:spacing w:line="360" w:lineRule="auto"/>
        <w:ind w:firstLine="420"/>
      </w:pPr>
      <w:r>
        <w:t>硬盘池</w:t>
      </w:r>
      <w:r>
        <w:rPr>
          <w:rFonts w:hint="eastAsia"/>
        </w:rPr>
        <w:t>是</w:t>
      </w:r>
      <w:r>
        <w:t>存储资源的具象化，</w:t>
      </w:r>
      <w:r>
        <w:rPr>
          <w:rFonts w:hint="eastAsia"/>
        </w:rPr>
        <w:t>可</w:t>
      </w:r>
      <w:r>
        <w:t>分为高性能硬盘池，用</w:t>
      </w:r>
      <w:r>
        <w:rPr>
          <w:rFonts w:hint="eastAsia"/>
        </w:rPr>
        <w:t>SSD\NVM</w:t>
      </w:r>
      <w:r>
        <w:t>e等硬盘构成，高容量硬盘池由</w:t>
      </w:r>
      <w:r>
        <w:rPr>
          <w:rFonts w:hint="eastAsia"/>
        </w:rPr>
        <w:t>HDD盘</w:t>
      </w:r>
      <w:r>
        <w:t>构成，而且</w:t>
      </w:r>
      <w:r>
        <w:rPr>
          <w:rFonts w:hint="eastAsia"/>
        </w:rPr>
        <w:t>在同一</w:t>
      </w:r>
      <w:r>
        <w:t>硬盘池</w:t>
      </w:r>
      <w:r>
        <w:rPr>
          <w:rFonts w:hint="eastAsia"/>
        </w:rPr>
        <w:t>内</w:t>
      </w:r>
      <w:r>
        <w:t>还要可同时满足不同的副本</w:t>
      </w:r>
      <w:r>
        <w:rPr>
          <w:rFonts w:hint="eastAsia"/>
        </w:rPr>
        <w:t>冗余</w:t>
      </w:r>
      <w:r>
        <w:t>策略，</w:t>
      </w:r>
      <w:r>
        <w:rPr>
          <w:rFonts w:hint="eastAsia"/>
        </w:rPr>
        <w:t>可</w:t>
      </w:r>
      <w:r>
        <w:t>在线</w:t>
      </w:r>
      <w:r>
        <w:rPr>
          <w:rFonts w:hint="eastAsia"/>
        </w:rPr>
        <w:t>灵活</w:t>
      </w:r>
      <w:r>
        <w:t>修改</w:t>
      </w:r>
      <w:r>
        <w:rPr>
          <w:rFonts w:hint="eastAsia"/>
        </w:rPr>
        <w:t>。</w:t>
      </w:r>
    </w:p>
    <w:p>
      <w:pPr>
        <w:pStyle w:val="32"/>
        <w:spacing w:line="360" w:lineRule="auto"/>
        <w:ind w:firstLine="420"/>
      </w:pPr>
      <w:r>
        <w:rPr>
          <w:rFonts w:hint="eastAsia"/>
        </w:rPr>
        <w:t>最</w:t>
      </w:r>
      <w:r>
        <w:t>典型的莫过于医院的超融合集群，一个中小型医院的</w:t>
      </w:r>
      <w:r>
        <w:rPr>
          <w:rFonts w:hint="eastAsia"/>
        </w:rPr>
        <w:t>6节点</w:t>
      </w:r>
      <w:r>
        <w:t>集群，采用</w:t>
      </w:r>
      <w:r>
        <w:rPr>
          <w:rFonts w:hint="eastAsia"/>
        </w:rPr>
        <w:t>6个</w:t>
      </w:r>
      <w:r>
        <w:t>融合</w:t>
      </w:r>
      <w:r>
        <w:rPr>
          <w:rFonts w:hint="eastAsia"/>
        </w:rPr>
        <w:t>型</w:t>
      </w:r>
      <w:r>
        <w:t>节点，分为两个硬盘池，一个是高</w:t>
      </w:r>
      <w:r>
        <w:rPr>
          <w:rFonts w:hint="eastAsia"/>
        </w:rPr>
        <w:t>性能池</w:t>
      </w:r>
      <w:r>
        <w:t>，</w:t>
      </w:r>
      <w:r>
        <w:rPr>
          <w:rFonts w:hint="eastAsia"/>
        </w:rPr>
        <w:t>由</w:t>
      </w:r>
      <w:r>
        <w:t>全</w:t>
      </w:r>
      <w:r>
        <w:rPr>
          <w:rFonts w:hint="eastAsia"/>
        </w:rPr>
        <w:t>NVM</w:t>
      </w:r>
      <w:r>
        <w:t>e组成，</w:t>
      </w:r>
      <w:r>
        <w:rPr>
          <w:rFonts w:hint="eastAsia"/>
        </w:rPr>
        <w:t>另一个</w:t>
      </w:r>
      <w:r>
        <w:t>是高容量池，</w:t>
      </w:r>
      <w:r>
        <w:rPr>
          <w:rFonts w:hint="eastAsia"/>
        </w:rPr>
        <w:t>由8T的HDD盘</w:t>
      </w:r>
      <w:r>
        <w:t>组成</w:t>
      </w:r>
      <w:r>
        <w:rPr>
          <w:rFonts w:hint="eastAsia"/>
        </w:rPr>
        <w:t>，</w:t>
      </w:r>
      <w:r>
        <w:t>可以同时在上面跑</w:t>
      </w:r>
      <w:r>
        <w:rPr>
          <w:rFonts w:hint="eastAsia"/>
        </w:rPr>
        <w:t>HIS系统</w:t>
      </w:r>
      <w:r>
        <w:t>和</w:t>
      </w:r>
      <w:r>
        <w:rPr>
          <w:rFonts w:hint="eastAsia"/>
        </w:rPr>
        <w:t>PACS系统</w:t>
      </w:r>
      <w:r>
        <w:t>，只是</w:t>
      </w:r>
      <w:r>
        <w:rPr>
          <w:rFonts w:hint="eastAsia"/>
        </w:rPr>
        <w:t>分别</w:t>
      </w:r>
      <w:r>
        <w:t>使用了不同的池，而且</w:t>
      </w:r>
      <w:r>
        <w:rPr>
          <w:rFonts w:hint="eastAsia"/>
        </w:rPr>
        <w:t>PACS里面</w:t>
      </w:r>
      <w:r>
        <w:t>的数据，还可以选择不同的冗余策略。</w:t>
      </w:r>
    </w:p>
    <w:p>
      <w:pPr>
        <w:pStyle w:val="32"/>
        <w:spacing w:line="360" w:lineRule="auto"/>
        <w:ind w:firstLine="420"/>
        <w:rPr>
          <w:b/>
        </w:rPr>
      </w:pPr>
      <w:r>
        <w:rPr>
          <w:rFonts w:hint="eastAsia"/>
          <w:b/>
        </w:rPr>
        <w:t>资源</w:t>
      </w:r>
      <w:r>
        <w:rPr>
          <w:b/>
        </w:rPr>
        <w:t>池化</w:t>
      </w:r>
    </w:p>
    <w:p>
      <w:pPr>
        <w:pStyle w:val="32"/>
        <w:spacing w:line="360" w:lineRule="auto"/>
        <w:ind w:firstLine="420"/>
      </w:pPr>
      <w:r>
        <w:rPr>
          <w:rFonts w:hint="eastAsia"/>
        </w:rPr>
        <w:t>在</w:t>
      </w:r>
      <w:r>
        <w:t>逻辑层面</w:t>
      </w:r>
      <w:r>
        <w:rPr>
          <w:rFonts w:hint="eastAsia"/>
        </w:rPr>
        <w:t>上，对物理</w:t>
      </w:r>
      <w:r>
        <w:t>资源</w:t>
      </w:r>
      <w:r>
        <w:rPr>
          <w:rFonts w:hint="eastAsia"/>
        </w:rPr>
        <w:t>进行池化</w:t>
      </w:r>
      <w:r>
        <w:t>。</w:t>
      </w:r>
      <w:r>
        <w:rPr>
          <w:rFonts w:hint="eastAsia"/>
        </w:rPr>
        <w:t>分</w:t>
      </w:r>
      <w:r>
        <w:t>各类资源池，按照</w:t>
      </w:r>
      <w:r>
        <w:rPr>
          <w:rFonts w:hint="eastAsia"/>
        </w:rPr>
        <w:t>存储</w:t>
      </w:r>
      <w:r>
        <w:t>性能不同</w:t>
      </w:r>
      <w:r>
        <w:rPr>
          <w:rFonts w:hint="eastAsia"/>
        </w:rPr>
        <w:t>，</w:t>
      </w:r>
      <w:r>
        <w:t>可以分为高性能</w:t>
      </w:r>
      <w:r>
        <w:rPr>
          <w:rFonts w:hint="eastAsia"/>
        </w:rPr>
        <w:t>、</w:t>
      </w:r>
      <w:r>
        <w:t>高容量</w:t>
      </w:r>
      <w:r>
        <w:rPr>
          <w:rFonts w:hint="eastAsia"/>
        </w:rPr>
        <w:t>硬盘池等</w:t>
      </w:r>
      <w:r>
        <w:t>。计算性能不同，可以</w:t>
      </w:r>
      <w:r>
        <w:rPr>
          <w:rFonts w:hint="eastAsia"/>
        </w:rPr>
        <w:t>分高性能</w:t>
      </w:r>
      <w:r>
        <w:t>计算</w:t>
      </w:r>
      <w:r>
        <w:rPr>
          <w:rFonts w:hint="eastAsia"/>
        </w:rPr>
        <w:t>池，常规</w:t>
      </w:r>
      <w:r>
        <w:t>性能</w:t>
      </w:r>
      <w:r>
        <w:rPr>
          <w:rFonts w:hint="eastAsia"/>
        </w:rPr>
        <w:t>计算池等</w:t>
      </w:r>
      <w:r>
        <w:t>。</w:t>
      </w:r>
      <w:r>
        <w:rPr>
          <w:rFonts w:hint="eastAsia"/>
        </w:rPr>
        <w:t>相应</w:t>
      </w:r>
      <w:r>
        <w:t>的业务跑在相应的</w:t>
      </w:r>
      <w:r>
        <w:rPr>
          <w:rFonts w:hint="eastAsia"/>
        </w:rPr>
        <w:t>资源池</w:t>
      </w:r>
      <w:r>
        <w:t>中。</w:t>
      </w:r>
    </w:p>
    <w:p>
      <w:pPr>
        <w:pStyle w:val="32"/>
        <w:spacing w:line="360" w:lineRule="auto"/>
        <w:ind w:firstLine="420"/>
        <w:rPr>
          <w:b/>
        </w:rPr>
      </w:pPr>
      <w:r>
        <w:rPr>
          <w:rFonts w:hint="eastAsia"/>
          <w:b/>
        </w:rPr>
        <w:t>集群</w:t>
      </w:r>
      <w:r>
        <w:rPr>
          <w:b/>
        </w:rPr>
        <w:t>设置</w:t>
      </w:r>
      <w:r>
        <w:rPr>
          <w:rFonts w:hint="eastAsia"/>
          <w:b/>
        </w:rPr>
        <w:t>多</w:t>
      </w:r>
      <w:r>
        <w:rPr>
          <w:b/>
        </w:rPr>
        <w:t>故障域</w:t>
      </w:r>
      <w:r>
        <w:rPr>
          <w:rFonts w:hint="eastAsia"/>
          <w:b/>
        </w:rPr>
        <w:t>，满足</w:t>
      </w:r>
      <w:r>
        <w:rPr>
          <w:b/>
        </w:rPr>
        <w:t>高可靠性</w:t>
      </w:r>
    </w:p>
    <w:p>
      <w:pPr>
        <w:pStyle w:val="32"/>
        <w:spacing w:line="360" w:lineRule="auto"/>
        <w:ind w:firstLine="420"/>
      </w:pPr>
      <w:r>
        <w:rPr>
          <w:rFonts w:hint="eastAsia"/>
        </w:rPr>
        <w:t>从物理</w:t>
      </w:r>
      <w:r>
        <w:t>到逻辑，</w:t>
      </w:r>
      <w:r>
        <w:rPr>
          <w:rFonts w:hint="eastAsia"/>
        </w:rPr>
        <w:t>每个</w:t>
      </w:r>
      <w:r>
        <w:t>集群、每个池</w:t>
      </w:r>
      <w:r>
        <w:rPr>
          <w:rFonts w:hint="eastAsia"/>
        </w:rPr>
        <w:t>都</w:t>
      </w:r>
      <w:r>
        <w:t>可以</w:t>
      </w:r>
      <w:r>
        <w:rPr>
          <w:rFonts w:hint="eastAsia"/>
        </w:rPr>
        <w:t>弹性扩容</w:t>
      </w:r>
      <w:r>
        <w:t>缩</w:t>
      </w:r>
      <w:r>
        <w:rPr>
          <w:rFonts w:hint="eastAsia"/>
        </w:rPr>
        <w:t>容</w:t>
      </w:r>
      <w:r>
        <w:t>。</w:t>
      </w:r>
      <w:r>
        <w:rPr>
          <w:rFonts w:hint="eastAsia"/>
        </w:rPr>
        <w:t>但是集群</w:t>
      </w:r>
      <w:r>
        <w:t>的扩</w:t>
      </w:r>
      <w:r>
        <w:rPr>
          <w:rFonts w:hint="eastAsia"/>
        </w:rPr>
        <w:t>容</w:t>
      </w:r>
      <w:r>
        <w:t>也带来了</w:t>
      </w:r>
      <w:r>
        <w:rPr>
          <w:rFonts w:hint="eastAsia"/>
        </w:rPr>
        <w:t>节点</w:t>
      </w:r>
      <w:r>
        <w:t>故障风险的提升，所以</w:t>
      </w:r>
      <w:r>
        <w:rPr>
          <w:rFonts w:hint="eastAsia"/>
        </w:rPr>
        <w:t>当</w:t>
      </w:r>
      <w:r>
        <w:t>集群</w:t>
      </w:r>
      <w:r>
        <w:rPr>
          <w:rFonts w:hint="eastAsia"/>
        </w:rPr>
        <w:t>内</w:t>
      </w:r>
      <w:r>
        <w:t>的节点数增多</w:t>
      </w:r>
      <w:r>
        <w:rPr>
          <w:rFonts w:hint="eastAsia"/>
        </w:rPr>
        <w:t>时</w:t>
      </w:r>
      <w:r>
        <w:t>，</w:t>
      </w:r>
      <w:r>
        <w:rPr>
          <w:rFonts w:hint="eastAsia"/>
        </w:rPr>
        <w:t>就要</w:t>
      </w:r>
      <w:r>
        <w:t>划分</w:t>
      </w:r>
      <w:r>
        <w:rPr>
          <w:rFonts w:hint="eastAsia"/>
        </w:rPr>
        <w:t>多个</w:t>
      </w:r>
      <w:r>
        <w:t>故障域，保证各个故障域</w:t>
      </w:r>
      <w:r>
        <w:rPr>
          <w:rFonts w:hint="eastAsia"/>
        </w:rPr>
        <w:t>的</w:t>
      </w:r>
      <w:r>
        <w:t>隔离，单</w:t>
      </w:r>
      <w:r>
        <w:rPr>
          <w:rFonts w:hint="eastAsia"/>
        </w:rPr>
        <w:t>故障域</w:t>
      </w:r>
      <w:r>
        <w:t>的</w:t>
      </w:r>
      <w:r>
        <w:rPr>
          <w:rFonts w:hint="eastAsia"/>
        </w:rPr>
        <w:t>故障</w:t>
      </w:r>
      <w:r>
        <w:t>不影响</w:t>
      </w:r>
      <w:r>
        <w:rPr>
          <w:rFonts w:hint="eastAsia"/>
        </w:rPr>
        <w:t>其他</w:t>
      </w:r>
      <w:r>
        <w:t>域，不影响整体</w:t>
      </w:r>
      <w:r>
        <w:rPr>
          <w:rFonts w:hint="eastAsia"/>
        </w:rPr>
        <w:t>，把</w:t>
      </w:r>
      <w:r>
        <w:t>故障</w:t>
      </w:r>
      <w:r>
        <w:rPr>
          <w:rFonts w:hint="eastAsia"/>
        </w:rPr>
        <w:t>掌握在</w:t>
      </w:r>
      <w:r>
        <w:t>可控范围内。</w:t>
      </w:r>
    </w:p>
    <w:p>
      <w:pPr>
        <w:pStyle w:val="32"/>
        <w:spacing w:line="360" w:lineRule="auto"/>
        <w:ind w:firstLine="420"/>
        <w:rPr>
          <w:b/>
        </w:rPr>
      </w:pPr>
      <w:r>
        <w:rPr>
          <w:rFonts w:hint="eastAsia"/>
          <w:b/>
        </w:rPr>
        <w:t>虚机资源</w:t>
      </w:r>
      <w:r>
        <w:rPr>
          <w:b/>
        </w:rPr>
        <w:t>与物理主机资源的</w:t>
      </w:r>
      <w:r>
        <w:rPr>
          <w:rFonts w:hint="eastAsia"/>
          <w:b/>
        </w:rPr>
        <w:t>映射</w:t>
      </w:r>
      <w:r>
        <w:rPr>
          <w:b/>
        </w:rPr>
        <w:t>关系</w:t>
      </w:r>
    </w:p>
    <w:p>
      <w:pPr>
        <w:pStyle w:val="32"/>
        <w:spacing w:line="360" w:lineRule="auto"/>
        <w:ind w:firstLine="420"/>
      </w:pPr>
      <w:r>
        <w:rPr>
          <w:rFonts w:hint="eastAsia"/>
        </w:rPr>
        <w:t>资源的映射关系</w:t>
      </w:r>
      <w:r>
        <w:t>：虚机</w:t>
      </w:r>
      <w:r>
        <w:rPr>
          <w:rFonts w:hint="eastAsia"/>
        </w:rPr>
        <w:t>主要</w:t>
      </w:r>
      <w:r>
        <w:t>的</w:t>
      </w:r>
      <w:r>
        <w:rPr>
          <w:rFonts w:hint="eastAsia"/>
        </w:rPr>
        <w:t>CPU、</w:t>
      </w:r>
      <w:r>
        <w:t>内存、硬盘与物理主机的映射关系</w:t>
      </w:r>
      <w:r>
        <w:rPr>
          <w:rFonts w:hint="eastAsia"/>
        </w:rPr>
        <w:t>，</w:t>
      </w:r>
      <w:r>
        <w:t>可以用</w:t>
      </w:r>
      <w:r>
        <w:rPr>
          <w:rFonts w:hint="eastAsia"/>
        </w:rPr>
        <w:t>3个</w:t>
      </w:r>
      <w:r>
        <w:t>算法来</w:t>
      </w:r>
      <w:r>
        <w:rPr>
          <w:rFonts w:hint="eastAsia"/>
        </w:rPr>
        <w:t>表示，</w:t>
      </w:r>
      <w:r>
        <w:t>分别是</w:t>
      </w:r>
    </w:p>
    <w:p>
      <w:pPr>
        <w:spacing w:line="360" w:lineRule="auto"/>
        <w:ind w:left="0" w:firstLine="420"/>
        <w:rPr>
          <w:rFonts w:ascii="宋体" w:hAnsi="宋体" w:cs="宋体"/>
          <w:kern w:val="0"/>
          <w:sz w:val="24"/>
          <w:szCs w:val="24"/>
        </w:rPr>
      </w:pPr>
      <w:r>
        <w:rPr>
          <w:rFonts w:hint="eastAsia" w:ascii="宋体" w:hAnsi="宋体" w:cs="宋体"/>
          <w:kern w:val="0"/>
          <w:sz w:val="24"/>
          <w:szCs w:val="24"/>
        </w:rPr>
        <w:t>（虚机CPU * 虚机数量）/（1 - 预留资源比例 - 系统占用比例）/ 超分配比例 = 节点CPU配置 * 节点数量；</w:t>
      </w:r>
    </w:p>
    <w:p>
      <w:pPr>
        <w:spacing w:line="360" w:lineRule="auto"/>
        <w:ind w:left="0" w:firstLine="420"/>
        <w:rPr>
          <w:rFonts w:ascii="宋体" w:hAnsi="宋体" w:cs="宋体"/>
          <w:kern w:val="0"/>
          <w:sz w:val="24"/>
          <w:szCs w:val="24"/>
        </w:rPr>
      </w:pPr>
      <w:r>
        <w:rPr>
          <w:rFonts w:hint="eastAsia" w:ascii="宋体" w:hAnsi="宋体" w:cs="宋体"/>
          <w:kern w:val="0"/>
          <w:sz w:val="24"/>
          <w:szCs w:val="24"/>
        </w:rPr>
        <w:t>（虚机内存 * 虚机数量）/（1 - 预留资源比例 - 系统占用比例）/ 超分配比例 = 节点内存配置 * 节点数量；</w:t>
      </w:r>
    </w:p>
    <w:p>
      <w:pPr>
        <w:spacing w:line="360" w:lineRule="auto"/>
        <w:ind w:left="0" w:firstLine="420"/>
        <w:rPr>
          <w:rFonts w:ascii="宋体" w:hAnsi="宋体" w:cs="宋体"/>
          <w:kern w:val="0"/>
          <w:sz w:val="24"/>
          <w:szCs w:val="24"/>
        </w:rPr>
      </w:pPr>
      <w:r>
        <w:rPr>
          <w:rFonts w:hint="eastAsia" w:ascii="宋体" w:hAnsi="宋体" w:cs="宋体"/>
          <w:kern w:val="0"/>
          <w:sz w:val="24"/>
          <w:szCs w:val="24"/>
        </w:rPr>
        <w:t>（虚机硬盘容量 * 虚机数量）*</w:t>
      </w:r>
      <w:r>
        <w:rPr>
          <w:rFonts w:ascii="宋体" w:hAnsi="宋体" w:cs="宋体"/>
          <w:kern w:val="0"/>
          <w:sz w:val="24"/>
          <w:szCs w:val="24"/>
        </w:rPr>
        <w:t xml:space="preserve"> </w:t>
      </w:r>
      <w:r>
        <w:rPr>
          <w:rFonts w:hint="eastAsia" w:ascii="宋体" w:hAnsi="宋体" w:cs="宋体"/>
          <w:kern w:val="0"/>
          <w:sz w:val="24"/>
          <w:szCs w:val="24"/>
        </w:rPr>
        <w:t>副本</w:t>
      </w:r>
      <w:r>
        <w:rPr>
          <w:rFonts w:ascii="宋体" w:hAnsi="宋体" w:cs="宋体"/>
          <w:kern w:val="0"/>
          <w:sz w:val="24"/>
          <w:szCs w:val="24"/>
        </w:rPr>
        <w:t>数</w:t>
      </w:r>
      <w:r>
        <w:rPr>
          <w:rFonts w:hint="eastAsia" w:ascii="宋体" w:hAnsi="宋体" w:cs="宋体"/>
          <w:kern w:val="0"/>
          <w:sz w:val="24"/>
          <w:szCs w:val="24"/>
        </w:rPr>
        <w:t>/（1 - 预留资源比例）/ 超分配（精简</w:t>
      </w:r>
      <w:r>
        <w:rPr>
          <w:rFonts w:ascii="宋体" w:hAnsi="宋体" w:cs="宋体"/>
          <w:kern w:val="0"/>
          <w:sz w:val="24"/>
          <w:szCs w:val="24"/>
        </w:rPr>
        <w:t>）</w:t>
      </w:r>
      <w:r>
        <w:rPr>
          <w:rFonts w:hint="eastAsia" w:ascii="宋体" w:hAnsi="宋体" w:cs="宋体"/>
          <w:kern w:val="0"/>
          <w:sz w:val="24"/>
          <w:szCs w:val="24"/>
        </w:rPr>
        <w:t>比例 = 节点硬盘容量配置 * 节点数量；</w:t>
      </w:r>
    </w:p>
    <w:p>
      <w:pPr>
        <w:spacing w:line="360" w:lineRule="auto"/>
        <w:ind w:left="0" w:firstLine="420"/>
        <w:rPr>
          <w:rFonts w:ascii="宋体" w:hAnsi="宋体" w:cs="宋体"/>
          <w:kern w:val="0"/>
          <w:sz w:val="24"/>
          <w:szCs w:val="24"/>
        </w:rPr>
      </w:pPr>
      <w:r>
        <w:rPr>
          <w:rFonts w:hint="eastAsia" w:ascii="宋体" w:hAnsi="宋体" w:cs="宋体"/>
          <w:kern w:val="0"/>
          <w:sz w:val="24"/>
          <w:szCs w:val="24"/>
        </w:rPr>
        <w:t>3个方程的右边，节点资源配置和节点数量是此消彼长的关系。其中数量是锚点，最后需要在节点数量层面把CPU内存硬盘配平。</w:t>
      </w:r>
    </w:p>
    <w:p>
      <w:pPr>
        <w:pStyle w:val="5"/>
        <w:rPr>
          <w:sz w:val="24"/>
          <w:szCs w:val="24"/>
        </w:rPr>
      </w:pPr>
      <w:bookmarkStart w:id="28" w:name="_Toc54343071"/>
      <w:r>
        <w:rPr>
          <w:rFonts w:hint="eastAsia"/>
          <w:sz w:val="24"/>
          <w:szCs w:val="24"/>
        </w:rPr>
        <w:t>集群容量规划</w:t>
      </w:r>
      <w:bookmarkEnd w:id="28"/>
    </w:p>
    <w:p>
      <w:pPr>
        <w:spacing w:line="360" w:lineRule="auto"/>
        <w:ind w:left="0" w:firstLine="420"/>
        <w:rPr>
          <w:rFonts w:ascii="宋体" w:hAnsi="宋体" w:cs="宋体"/>
          <w:kern w:val="0"/>
          <w:sz w:val="24"/>
          <w:szCs w:val="24"/>
        </w:rPr>
      </w:pPr>
      <w:r>
        <w:rPr>
          <w:rFonts w:hint="eastAsia" w:ascii="宋体" w:hAnsi="宋体" w:cs="宋体"/>
          <w:kern w:val="0"/>
          <w:sz w:val="24"/>
          <w:szCs w:val="24"/>
        </w:rPr>
        <w:t>超融合集群容量规划</w:t>
      </w:r>
      <w:r>
        <w:rPr>
          <w:rFonts w:ascii="宋体" w:hAnsi="宋体" w:cs="宋体"/>
          <w:kern w:val="0"/>
          <w:sz w:val="24"/>
          <w:szCs w:val="24"/>
        </w:rPr>
        <w:t>的主要目的是</w:t>
      </w:r>
      <w:r>
        <w:rPr>
          <w:rFonts w:hint="eastAsia" w:ascii="宋体" w:hAnsi="宋体" w:cs="宋体"/>
          <w:kern w:val="0"/>
          <w:sz w:val="24"/>
          <w:szCs w:val="24"/>
        </w:rPr>
        <w:t>计算出目标</w:t>
      </w:r>
      <w:r>
        <w:rPr>
          <w:rFonts w:ascii="宋体" w:hAnsi="宋体" w:cs="宋体"/>
          <w:kern w:val="0"/>
          <w:sz w:val="24"/>
          <w:szCs w:val="24"/>
        </w:rPr>
        <w:t>超融合集群的</w:t>
      </w:r>
      <w:r>
        <w:rPr>
          <w:rFonts w:hint="eastAsia" w:ascii="宋体" w:hAnsi="宋体" w:cs="宋体"/>
          <w:kern w:val="0"/>
          <w:sz w:val="24"/>
          <w:szCs w:val="24"/>
        </w:rPr>
        <w:t>服务器</w:t>
      </w:r>
      <w:r>
        <w:rPr>
          <w:rFonts w:ascii="宋体" w:hAnsi="宋体" w:cs="宋体"/>
          <w:kern w:val="0"/>
          <w:sz w:val="24"/>
          <w:szCs w:val="24"/>
        </w:rPr>
        <w:t>数量，和每台服务器的</w:t>
      </w:r>
      <w:r>
        <w:rPr>
          <w:rFonts w:hint="eastAsia" w:ascii="宋体" w:hAnsi="宋体" w:cs="宋体"/>
          <w:kern w:val="0"/>
          <w:sz w:val="24"/>
          <w:szCs w:val="24"/>
        </w:rPr>
        <w:t>主要</w:t>
      </w:r>
      <w:r>
        <w:rPr>
          <w:rFonts w:ascii="宋体" w:hAnsi="宋体" w:cs="宋体"/>
          <w:kern w:val="0"/>
          <w:sz w:val="24"/>
          <w:szCs w:val="24"/>
        </w:rPr>
        <w:t>配置。</w:t>
      </w:r>
    </w:p>
    <w:p>
      <w:pPr>
        <w:pStyle w:val="129"/>
        <w:numPr>
          <w:ilvl w:val="0"/>
          <w:numId w:val="16"/>
        </w:numPr>
        <w:spacing w:line="360" w:lineRule="auto"/>
        <w:ind w:firstLineChars="0"/>
        <w:rPr>
          <w:rFonts w:eastAsia="黑体"/>
          <w:color w:val="800000"/>
          <w:kern w:val="0"/>
          <w:sz w:val="24"/>
          <w:szCs w:val="24"/>
        </w:rPr>
      </w:pPr>
      <w:r>
        <w:rPr>
          <w:rFonts w:hint="eastAsia" w:eastAsia="黑体"/>
          <w:color w:val="800000"/>
          <w:kern w:val="0"/>
          <w:sz w:val="24"/>
          <w:szCs w:val="24"/>
        </w:rPr>
        <w:t>CPU</w:t>
      </w:r>
      <w:r>
        <w:rPr>
          <w:rFonts w:eastAsia="黑体"/>
          <w:color w:val="800000"/>
          <w:kern w:val="0"/>
          <w:sz w:val="24"/>
          <w:szCs w:val="24"/>
        </w:rPr>
        <w:t>的规划</w:t>
      </w:r>
    </w:p>
    <w:p>
      <w:pPr>
        <w:spacing w:line="360" w:lineRule="auto"/>
        <w:ind w:left="0" w:firstLine="420"/>
        <w:rPr>
          <w:rFonts w:ascii="宋体" w:hAnsi="宋体" w:cs="宋体"/>
          <w:kern w:val="0"/>
          <w:sz w:val="24"/>
          <w:szCs w:val="24"/>
        </w:rPr>
      </w:pPr>
      <w:r>
        <w:rPr>
          <w:rFonts w:hint="eastAsia" w:ascii="宋体" w:hAnsi="宋体" w:cs="宋体"/>
          <w:kern w:val="0"/>
          <w:sz w:val="24"/>
          <w:szCs w:val="24"/>
        </w:rPr>
        <w:t>集群CPU的规划</w:t>
      </w:r>
      <w:r>
        <w:rPr>
          <w:rFonts w:ascii="宋体" w:hAnsi="宋体" w:cs="宋体"/>
          <w:kern w:val="0"/>
          <w:sz w:val="24"/>
          <w:szCs w:val="24"/>
        </w:rPr>
        <w:t>包含</w:t>
      </w:r>
      <w:r>
        <w:rPr>
          <w:rFonts w:hint="eastAsia" w:ascii="宋体" w:hAnsi="宋体" w:cs="宋体"/>
          <w:kern w:val="0"/>
          <w:sz w:val="24"/>
          <w:szCs w:val="24"/>
        </w:rPr>
        <w:t>业务</w:t>
      </w:r>
      <w:r>
        <w:rPr>
          <w:rFonts w:ascii="宋体" w:hAnsi="宋体" w:cs="宋体"/>
          <w:kern w:val="0"/>
          <w:sz w:val="24"/>
          <w:szCs w:val="24"/>
        </w:rPr>
        <w:t>层面</w:t>
      </w:r>
      <w:r>
        <w:rPr>
          <w:rFonts w:hint="eastAsia" w:ascii="宋体" w:hAnsi="宋体" w:cs="宋体"/>
          <w:kern w:val="0"/>
          <w:sz w:val="24"/>
          <w:szCs w:val="24"/>
        </w:rPr>
        <w:t>、物理</w:t>
      </w:r>
      <w:r>
        <w:rPr>
          <w:rFonts w:ascii="宋体" w:hAnsi="宋体" w:cs="宋体"/>
          <w:kern w:val="0"/>
          <w:sz w:val="24"/>
          <w:szCs w:val="24"/>
        </w:rPr>
        <w:t>层面</w:t>
      </w:r>
      <w:r>
        <w:rPr>
          <w:rFonts w:hint="eastAsia" w:ascii="宋体" w:hAnsi="宋体" w:cs="宋体"/>
          <w:kern w:val="0"/>
          <w:sz w:val="24"/>
          <w:szCs w:val="24"/>
        </w:rPr>
        <w:t>和</w:t>
      </w:r>
      <w:r>
        <w:rPr>
          <w:rFonts w:ascii="宋体" w:hAnsi="宋体" w:cs="宋体"/>
          <w:kern w:val="0"/>
          <w:sz w:val="24"/>
          <w:szCs w:val="24"/>
        </w:rPr>
        <w:t>配置层面</w:t>
      </w:r>
      <w:r>
        <w:rPr>
          <w:rFonts w:hint="eastAsia" w:ascii="宋体" w:hAnsi="宋体" w:cs="宋体"/>
          <w:kern w:val="0"/>
          <w:sz w:val="24"/>
          <w:szCs w:val="24"/>
        </w:rPr>
        <w:t>，</w:t>
      </w:r>
      <w:r>
        <w:rPr>
          <w:rFonts w:ascii="宋体" w:hAnsi="宋体" w:cs="宋体"/>
          <w:kern w:val="0"/>
          <w:sz w:val="24"/>
          <w:szCs w:val="24"/>
        </w:rPr>
        <w:t>即</w:t>
      </w:r>
      <w:r>
        <w:rPr>
          <w:rFonts w:hint="eastAsia" w:ascii="宋体" w:hAnsi="宋体" w:cs="宋体"/>
          <w:kern w:val="0"/>
          <w:sz w:val="24"/>
          <w:szCs w:val="24"/>
        </w:rPr>
        <w:t>虚拟机</w:t>
      </w:r>
      <w:r>
        <w:rPr>
          <w:rFonts w:ascii="宋体" w:hAnsi="宋体" w:cs="宋体"/>
          <w:kern w:val="0"/>
          <w:sz w:val="24"/>
          <w:szCs w:val="24"/>
        </w:rPr>
        <w:t>的</w:t>
      </w:r>
      <w:r>
        <w:rPr>
          <w:rFonts w:hint="eastAsia" w:ascii="宋体" w:hAnsi="宋体" w:cs="宋体"/>
          <w:kern w:val="0"/>
          <w:sz w:val="24"/>
          <w:szCs w:val="24"/>
        </w:rPr>
        <w:t>CPU核数</w:t>
      </w:r>
      <w:r>
        <w:rPr>
          <w:rFonts w:ascii="宋体" w:hAnsi="宋体" w:cs="宋体"/>
          <w:kern w:val="0"/>
          <w:sz w:val="24"/>
          <w:szCs w:val="24"/>
        </w:rPr>
        <w:t>，</w:t>
      </w:r>
      <w:r>
        <w:rPr>
          <w:rFonts w:hint="eastAsia" w:ascii="宋体" w:hAnsi="宋体" w:cs="宋体"/>
          <w:kern w:val="0"/>
          <w:sz w:val="24"/>
          <w:szCs w:val="24"/>
        </w:rPr>
        <w:t>集群</w:t>
      </w:r>
      <w:r>
        <w:rPr>
          <w:rFonts w:ascii="宋体" w:hAnsi="宋体" w:cs="宋体"/>
          <w:kern w:val="0"/>
          <w:sz w:val="24"/>
          <w:szCs w:val="24"/>
        </w:rPr>
        <w:t>的</w:t>
      </w:r>
      <w:r>
        <w:rPr>
          <w:rFonts w:hint="eastAsia" w:ascii="宋体" w:hAnsi="宋体" w:cs="宋体"/>
          <w:kern w:val="0"/>
          <w:sz w:val="24"/>
          <w:szCs w:val="24"/>
        </w:rPr>
        <w:t>CPU核数</w:t>
      </w:r>
      <w:r>
        <w:rPr>
          <w:rFonts w:ascii="宋体" w:hAnsi="宋体" w:cs="宋体"/>
          <w:kern w:val="0"/>
          <w:sz w:val="24"/>
          <w:szCs w:val="24"/>
        </w:rPr>
        <w:t>以及每台</w:t>
      </w:r>
      <w:r>
        <w:rPr>
          <w:rFonts w:hint="eastAsia" w:ascii="宋体" w:hAnsi="宋体" w:cs="宋体"/>
          <w:kern w:val="0"/>
          <w:sz w:val="24"/>
          <w:szCs w:val="24"/>
        </w:rPr>
        <w:t>服务器</w:t>
      </w:r>
      <w:r>
        <w:rPr>
          <w:rFonts w:ascii="宋体" w:hAnsi="宋体" w:cs="宋体"/>
          <w:kern w:val="0"/>
          <w:sz w:val="24"/>
          <w:szCs w:val="24"/>
        </w:rPr>
        <w:t>的</w:t>
      </w:r>
      <w:r>
        <w:rPr>
          <w:rFonts w:hint="eastAsia" w:ascii="宋体" w:hAnsi="宋体" w:cs="宋体"/>
          <w:kern w:val="0"/>
          <w:sz w:val="24"/>
          <w:szCs w:val="24"/>
        </w:rPr>
        <w:t>CPU频率</w:t>
      </w:r>
      <w:r>
        <w:rPr>
          <w:rFonts w:ascii="宋体" w:hAnsi="宋体" w:cs="宋体"/>
          <w:kern w:val="0"/>
          <w:sz w:val="24"/>
          <w:szCs w:val="24"/>
        </w:rPr>
        <w:t>和核数。</w:t>
      </w:r>
    </w:p>
    <w:p>
      <w:pPr>
        <w:spacing w:line="360" w:lineRule="auto"/>
        <w:ind w:left="0" w:firstLine="420"/>
        <w:rPr>
          <w:rFonts w:ascii="宋体" w:hAnsi="宋体" w:cs="宋体"/>
          <w:kern w:val="0"/>
          <w:sz w:val="24"/>
          <w:szCs w:val="24"/>
        </w:rPr>
      </w:pPr>
      <w:r>
        <w:rPr>
          <w:rFonts w:hint="eastAsia" w:ascii="宋体" w:hAnsi="宋体" w:cs="宋体"/>
          <w:kern w:val="0"/>
          <w:sz w:val="24"/>
          <w:szCs w:val="24"/>
        </w:rPr>
        <w:t>算法如下</w:t>
      </w:r>
      <w:r>
        <w:rPr>
          <w:rFonts w:ascii="宋体" w:hAnsi="宋体" w:cs="宋体"/>
          <w:kern w:val="0"/>
          <w:sz w:val="24"/>
          <w:szCs w:val="24"/>
        </w:rPr>
        <w:t>：</w:t>
      </w:r>
    </w:p>
    <w:p>
      <w:pPr>
        <w:spacing w:line="360" w:lineRule="auto"/>
        <w:ind w:left="0" w:firstLine="420"/>
        <w:rPr>
          <w:rFonts w:ascii="宋体" w:hAnsi="宋体" w:cs="宋体"/>
          <w:kern w:val="0"/>
          <w:sz w:val="24"/>
          <w:szCs w:val="24"/>
        </w:rPr>
      </w:pPr>
      <w:r>
        <w:rPr>
          <w:rFonts w:hint="eastAsia" w:ascii="宋体" w:hAnsi="宋体" w:cs="宋体"/>
          <w:kern w:val="0"/>
          <w:sz w:val="24"/>
          <w:szCs w:val="24"/>
        </w:rPr>
        <w:t>（虚机CPU * 虚机数量）/  （1 - 预留资源比例 - 系统占用比例）/ 超分配比例 = 节点CPU配置 * 节点数量；</w:t>
      </w:r>
    </w:p>
    <w:p>
      <w:pPr>
        <w:spacing w:line="360" w:lineRule="auto"/>
        <w:ind w:left="0" w:firstLine="420"/>
        <w:rPr>
          <w:rFonts w:ascii="宋体" w:hAnsi="宋体" w:cs="宋体"/>
          <w:kern w:val="0"/>
          <w:sz w:val="24"/>
          <w:szCs w:val="24"/>
        </w:rPr>
      </w:pPr>
      <w:r>
        <w:rPr>
          <w:rFonts w:hint="eastAsia" w:ascii="宋体" w:hAnsi="宋体" w:cs="宋体"/>
          <w:kern w:val="0"/>
          <w:sz w:val="24"/>
          <w:szCs w:val="24"/>
        </w:rPr>
        <w:t>方程的右边，节点CPU配置</w:t>
      </w:r>
      <w:r>
        <w:rPr>
          <w:rFonts w:ascii="宋体" w:hAnsi="宋体" w:cs="宋体"/>
          <w:kern w:val="0"/>
          <w:sz w:val="24"/>
          <w:szCs w:val="24"/>
        </w:rPr>
        <w:t>这里，由于</w:t>
      </w:r>
      <w:r>
        <w:rPr>
          <w:rFonts w:hint="eastAsia" w:ascii="宋体" w:hAnsi="宋体" w:cs="宋体"/>
          <w:kern w:val="0"/>
          <w:sz w:val="24"/>
          <w:szCs w:val="24"/>
        </w:rPr>
        <w:t>CPU是</w:t>
      </w:r>
      <w:r>
        <w:rPr>
          <w:rFonts w:ascii="宋体" w:hAnsi="宋体" w:cs="宋体"/>
          <w:kern w:val="0"/>
          <w:sz w:val="24"/>
          <w:szCs w:val="24"/>
        </w:rPr>
        <w:t>可以一虚多的，常规是</w:t>
      </w:r>
      <w:r>
        <w:rPr>
          <w:rFonts w:hint="eastAsia" w:ascii="宋体" w:hAnsi="宋体" w:cs="宋体"/>
          <w:kern w:val="0"/>
          <w:sz w:val="24"/>
          <w:szCs w:val="24"/>
        </w:rPr>
        <w:t>2倍</w:t>
      </w:r>
      <w:r>
        <w:rPr>
          <w:rFonts w:ascii="宋体" w:hAnsi="宋体" w:cs="宋体"/>
          <w:kern w:val="0"/>
          <w:sz w:val="24"/>
          <w:szCs w:val="24"/>
        </w:rPr>
        <w:t>，即</w:t>
      </w:r>
      <w:r>
        <w:rPr>
          <w:rFonts w:hint="eastAsia" w:ascii="宋体" w:hAnsi="宋体" w:cs="宋体"/>
          <w:kern w:val="0"/>
          <w:sz w:val="24"/>
          <w:szCs w:val="24"/>
        </w:rPr>
        <w:t>2路16核</w:t>
      </w:r>
      <w:r>
        <w:rPr>
          <w:rFonts w:ascii="宋体" w:hAnsi="宋体" w:cs="宋体"/>
          <w:kern w:val="0"/>
          <w:sz w:val="24"/>
          <w:szCs w:val="24"/>
        </w:rPr>
        <w:t>的</w:t>
      </w:r>
      <w:r>
        <w:rPr>
          <w:rFonts w:hint="eastAsia" w:ascii="宋体" w:hAnsi="宋体" w:cs="宋体"/>
          <w:kern w:val="0"/>
          <w:sz w:val="24"/>
          <w:szCs w:val="24"/>
        </w:rPr>
        <w:t>CPU，</w:t>
      </w:r>
      <w:r>
        <w:rPr>
          <w:rFonts w:ascii="宋体" w:hAnsi="宋体" w:cs="宋体"/>
          <w:kern w:val="0"/>
          <w:sz w:val="24"/>
          <w:szCs w:val="24"/>
        </w:rPr>
        <w:t>一般</w:t>
      </w:r>
      <w:r>
        <w:rPr>
          <w:rFonts w:hint="eastAsia" w:ascii="宋体" w:hAnsi="宋体" w:cs="宋体"/>
          <w:kern w:val="0"/>
          <w:sz w:val="24"/>
          <w:szCs w:val="24"/>
        </w:rPr>
        <w:t>可使用64核</w:t>
      </w:r>
      <w:r>
        <w:rPr>
          <w:rFonts w:ascii="宋体" w:hAnsi="宋体" w:cs="宋体"/>
          <w:kern w:val="0"/>
          <w:sz w:val="24"/>
          <w:szCs w:val="24"/>
        </w:rPr>
        <w:t>。</w:t>
      </w:r>
    </w:p>
    <w:p>
      <w:pPr>
        <w:pStyle w:val="129"/>
        <w:numPr>
          <w:ilvl w:val="0"/>
          <w:numId w:val="17"/>
        </w:numPr>
        <w:spacing w:line="360" w:lineRule="auto"/>
        <w:ind w:firstLineChars="0"/>
        <w:rPr>
          <w:rFonts w:ascii="宋体" w:hAnsi="宋体" w:cs="宋体"/>
          <w:kern w:val="0"/>
          <w:sz w:val="24"/>
          <w:szCs w:val="24"/>
        </w:rPr>
      </w:pPr>
      <w:r>
        <w:rPr>
          <w:rFonts w:hint="eastAsia" w:ascii="宋体" w:hAnsi="宋体" w:cs="宋体"/>
          <w:kern w:val="0"/>
          <w:sz w:val="24"/>
          <w:szCs w:val="24"/>
        </w:rPr>
        <w:t>虚机</w:t>
      </w:r>
      <w:r>
        <w:rPr>
          <w:rFonts w:ascii="宋体" w:hAnsi="宋体" w:cs="宋体"/>
          <w:kern w:val="0"/>
          <w:sz w:val="24"/>
          <w:szCs w:val="24"/>
        </w:rPr>
        <w:t>的核数需求，简单来说，</w:t>
      </w:r>
      <w:r>
        <w:rPr>
          <w:rFonts w:hint="eastAsia" w:ascii="宋体" w:hAnsi="宋体" w:cs="宋体"/>
          <w:kern w:val="0"/>
          <w:sz w:val="24"/>
          <w:szCs w:val="24"/>
        </w:rPr>
        <w:t>计划承载1000台</w:t>
      </w:r>
      <w:r>
        <w:rPr>
          <w:rFonts w:ascii="宋体" w:hAnsi="宋体" w:cs="宋体"/>
          <w:kern w:val="0"/>
          <w:sz w:val="24"/>
          <w:szCs w:val="24"/>
        </w:rPr>
        <w:t>虚机，</w:t>
      </w:r>
      <w:r>
        <w:rPr>
          <w:rFonts w:hint="eastAsia" w:ascii="宋体" w:hAnsi="宋体" w:cs="宋体"/>
          <w:kern w:val="0"/>
          <w:sz w:val="24"/>
          <w:szCs w:val="24"/>
        </w:rPr>
        <w:t>其中有</w:t>
      </w:r>
      <w:r>
        <w:rPr>
          <w:rFonts w:ascii="宋体" w:hAnsi="宋体" w:cs="宋体"/>
          <w:kern w:val="0"/>
          <w:sz w:val="24"/>
          <w:szCs w:val="24"/>
        </w:rPr>
        <w:t>计算型虚机，每虚机占</w:t>
      </w:r>
      <w:r>
        <w:rPr>
          <w:rFonts w:hint="eastAsia" w:ascii="宋体" w:hAnsi="宋体" w:cs="宋体"/>
          <w:kern w:val="0"/>
          <w:sz w:val="24"/>
          <w:szCs w:val="24"/>
        </w:rPr>
        <w:t>8核，</w:t>
      </w:r>
      <w:r>
        <w:rPr>
          <w:rFonts w:ascii="宋体" w:hAnsi="宋体" w:cs="宋体"/>
          <w:kern w:val="0"/>
          <w:sz w:val="24"/>
          <w:szCs w:val="24"/>
        </w:rPr>
        <w:t>有</w:t>
      </w:r>
      <w:r>
        <w:rPr>
          <w:rFonts w:hint="eastAsia" w:ascii="宋体" w:hAnsi="宋体" w:cs="宋体"/>
          <w:kern w:val="0"/>
          <w:sz w:val="24"/>
          <w:szCs w:val="24"/>
        </w:rPr>
        <w:t>200台</w:t>
      </w:r>
      <w:r>
        <w:rPr>
          <w:rFonts w:ascii="宋体" w:hAnsi="宋体" w:cs="宋体"/>
          <w:kern w:val="0"/>
          <w:sz w:val="24"/>
          <w:szCs w:val="24"/>
        </w:rPr>
        <w:t>，</w:t>
      </w:r>
      <w:r>
        <w:rPr>
          <w:rFonts w:hint="eastAsia" w:ascii="宋体" w:hAnsi="宋体" w:cs="宋体"/>
          <w:kern w:val="0"/>
          <w:sz w:val="24"/>
          <w:szCs w:val="24"/>
        </w:rPr>
        <w:t>常规型</w:t>
      </w:r>
      <w:r>
        <w:rPr>
          <w:rFonts w:ascii="宋体" w:hAnsi="宋体" w:cs="宋体"/>
          <w:kern w:val="0"/>
          <w:sz w:val="24"/>
          <w:szCs w:val="24"/>
        </w:rPr>
        <w:t>虚机</w:t>
      </w:r>
      <w:r>
        <w:rPr>
          <w:rFonts w:hint="eastAsia" w:ascii="宋体" w:hAnsi="宋体" w:cs="宋体"/>
          <w:kern w:val="0"/>
          <w:sz w:val="24"/>
          <w:szCs w:val="24"/>
        </w:rPr>
        <w:t>每</w:t>
      </w:r>
      <w:r>
        <w:rPr>
          <w:rFonts w:ascii="宋体" w:hAnsi="宋体" w:cs="宋体"/>
          <w:kern w:val="0"/>
          <w:sz w:val="24"/>
          <w:szCs w:val="24"/>
        </w:rPr>
        <w:t>个</w:t>
      </w:r>
      <w:r>
        <w:rPr>
          <w:rFonts w:hint="eastAsia" w:ascii="宋体" w:hAnsi="宋体" w:cs="宋体"/>
          <w:kern w:val="0"/>
          <w:sz w:val="24"/>
          <w:szCs w:val="24"/>
        </w:rPr>
        <w:t>2核或者4核，</w:t>
      </w:r>
      <w:r>
        <w:rPr>
          <w:rFonts w:ascii="宋体" w:hAnsi="宋体" w:cs="宋体"/>
          <w:kern w:val="0"/>
          <w:sz w:val="24"/>
          <w:szCs w:val="24"/>
        </w:rPr>
        <w:t>分别是</w:t>
      </w:r>
      <w:r>
        <w:rPr>
          <w:rFonts w:hint="eastAsia" w:ascii="宋体" w:hAnsi="宋体" w:cs="宋体"/>
          <w:kern w:val="0"/>
          <w:sz w:val="24"/>
          <w:szCs w:val="24"/>
        </w:rPr>
        <w:t>500台和300台</w:t>
      </w:r>
      <w:r>
        <w:rPr>
          <w:rFonts w:ascii="宋体" w:hAnsi="宋体" w:cs="宋体"/>
          <w:kern w:val="0"/>
          <w:sz w:val="24"/>
          <w:szCs w:val="24"/>
        </w:rPr>
        <w:t>，然后按照计算型</w:t>
      </w:r>
      <w:r>
        <w:rPr>
          <w:rFonts w:hint="eastAsia" w:ascii="宋体" w:hAnsi="宋体" w:cs="宋体"/>
          <w:kern w:val="0"/>
          <w:sz w:val="24"/>
          <w:szCs w:val="24"/>
        </w:rPr>
        <w:t>虚机</w:t>
      </w:r>
      <w:r>
        <w:rPr>
          <w:rFonts w:ascii="宋体" w:hAnsi="宋体" w:cs="宋体"/>
          <w:kern w:val="0"/>
          <w:sz w:val="24"/>
          <w:szCs w:val="24"/>
        </w:rPr>
        <w:t>的数量，常规型</w:t>
      </w:r>
      <w:r>
        <w:rPr>
          <w:rFonts w:hint="eastAsia" w:ascii="宋体" w:hAnsi="宋体" w:cs="宋体"/>
          <w:kern w:val="0"/>
          <w:sz w:val="24"/>
          <w:szCs w:val="24"/>
        </w:rPr>
        <w:t>数量</w:t>
      </w:r>
      <w:r>
        <w:rPr>
          <w:rFonts w:ascii="宋体" w:hAnsi="宋体" w:cs="宋体"/>
          <w:kern w:val="0"/>
          <w:sz w:val="24"/>
          <w:szCs w:val="24"/>
        </w:rPr>
        <w:t>，计算出总的业务</w:t>
      </w:r>
      <w:r>
        <w:rPr>
          <w:rFonts w:hint="eastAsia" w:ascii="宋体" w:hAnsi="宋体" w:cs="宋体"/>
          <w:kern w:val="0"/>
          <w:sz w:val="24"/>
          <w:szCs w:val="24"/>
        </w:rPr>
        <w:t>CPU核数</w:t>
      </w:r>
      <w:r>
        <w:rPr>
          <w:rFonts w:ascii="宋体" w:hAnsi="宋体" w:cs="宋体"/>
          <w:kern w:val="0"/>
          <w:sz w:val="24"/>
          <w:szCs w:val="24"/>
        </w:rPr>
        <w:t>。</w:t>
      </w:r>
      <w:r>
        <w:rPr>
          <w:rFonts w:hint="eastAsia" w:ascii="宋体" w:hAnsi="宋体" w:cs="宋体"/>
          <w:kern w:val="0"/>
          <w:sz w:val="24"/>
          <w:szCs w:val="24"/>
        </w:rPr>
        <w:t>8</w:t>
      </w:r>
      <w:r>
        <w:rPr>
          <w:rFonts w:ascii="宋体" w:hAnsi="宋体" w:cs="宋体"/>
          <w:kern w:val="0"/>
          <w:sz w:val="24"/>
          <w:szCs w:val="24"/>
        </w:rPr>
        <w:t>*200 + 4*300 + 2*200 =1600 + 1200 + 400 = 3200</w:t>
      </w:r>
      <w:r>
        <w:rPr>
          <w:rFonts w:hint="eastAsia" w:ascii="宋体" w:hAnsi="宋体" w:cs="宋体"/>
          <w:kern w:val="0"/>
          <w:sz w:val="24"/>
          <w:szCs w:val="24"/>
        </w:rPr>
        <w:t xml:space="preserve"> vcpu</w:t>
      </w:r>
    </w:p>
    <w:p>
      <w:pPr>
        <w:pStyle w:val="129"/>
        <w:numPr>
          <w:ilvl w:val="0"/>
          <w:numId w:val="17"/>
        </w:numPr>
        <w:spacing w:line="360" w:lineRule="auto"/>
        <w:ind w:firstLineChars="0"/>
        <w:rPr>
          <w:rFonts w:ascii="宋体" w:hAnsi="宋体" w:cs="宋体"/>
          <w:kern w:val="0"/>
          <w:sz w:val="24"/>
          <w:szCs w:val="24"/>
        </w:rPr>
      </w:pPr>
      <w:r>
        <w:rPr>
          <w:rFonts w:hint="eastAsia" w:ascii="宋体" w:hAnsi="宋体" w:cs="宋体"/>
          <w:kern w:val="0"/>
          <w:sz w:val="24"/>
          <w:szCs w:val="24"/>
        </w:rPr>
        <w:t>集群CPU核数，除了</w:t>
      </w:r>
      <w:r>
        <w:rPr>
          <w:rFonts w:ascii="宋体" w:hAnsi="宋体" w:cs="宋体"/>
          <w:kern w:val="0"/>
          <w:sz w:val="24"/>
          <w:szCs w:val="24"/>
        </w:rPr>
        <w:t>业务占的</w:t>
      </w:r>
      <w:r>
        <w:rPr>
          <w:rFonts w:hint="eastAsia" w:ascii="宋体" w:hAnsi="宋体" w:cs="宋体"/>
          <w:kern w:val="0"/>
          <w:sz w:val="24"/>
          <w:szCs w:val="24"/>
        </w:rPr>
        <w:t>CPU</w:t>
      </w:r>
      <w:r>
        <w:rPr>
          <w:rFonts w:ascii="宋体" w:hAnsi="宋体" w:cs="宋体"/>
          <w:kern w:val="0"/>
          <w:sz w:val="24"/>
          <w:szCs w:val="24"/>
        </w:rPr>
        <w:t>核数</w:t>
      </w:r>
      <w:r>
        <w:rPr>
          <w:rFonts w:hint="eastAsia" w:ascii="宋体" w:hAnsi="宋体" w:cs="宋体"/>
          <w:kern w:val="0"/>
          <w:sz w:val="24"/>
          <w:szCs w:val="24"/>
        </w:rPr>
        <w:t>，</w:t>
      </w:r>
      <w:r>
        <w:rPr>
          <w:rFonts w:ascii="宋体" w:hAnsi="宋体" w:cs="宋体"/>
          <w:kern w:val="0"/>
          <w:sz w:val="24"/>
          <w:szCs w:val="24"/>
        </w:rPr>
        <w:t>还</w:t>
      </w:r>
      <w:r>
        <w:rPr>
          <w:rFonts w:hint="eastAsia" w:ascii="宋体" w:hAnsi="宋体" w:cs="宋体"/>
          <w:kern w:val="0"/>
          <w:sz w:val="24"/>
          <w:szCs w:val="24"/>
        </w:rPr>
        <w:t>需要</w:t>
      </w:r>
      <w:r>
        <w:rPr>
          <w:rFonts w:ascii="宋体" w:hAnsi="宋体" w:cs="宋体"/>
          <w:kern w:val="0"/>
          <w:sz w:val="24"/>
          <w:szCs w:val="24"/>
        </w:rPr>
        <w:t>考虑</w:t>
      </w:r>
      <w:r>
        <w:rPr>
          <w:rFonts w:hint="eastAsia" w:ascii="宋体" w:hAnsi="宋体" w:cs="宋体"/>
          <w:kern w:val="0"/>
          <w:sz w:val="24"/>
          <w:szCs w:val="24"/>
        </w:rPr>
        <w:t>超融合</w:t>
      </w:r>
      <w:r>
        <w:rPr>
          <w:rFonts w:ascii="宋体" w:hAnsi="宋体" w:cs="宋体"/>
          <w:kern w:val="0"/>
          <w:sz w:val="24"/>
          <w:szCs w:val="24"/>
        </w:rPr>
        <w:t>软件</w:t>
      </w:r>
      <w:r>
        <w:rPr>
          <w:rFonts w:hint="eastAsia" w:ascii="宋体" w:hAnsi="宋体" w:cs="宋体"/>
          <w:kern w:val="0"/>
          <w:sz w:val="24"/>
          <w:szCs w:val="24"/>
        </w:rPr>
        <w:t>本身</w:t>
      </w:r>
      <w:r>
        <w:rPr>
          <w:rFonts w:ascii="宋体" w:hAnsi="宋体" w:cs="宋体"/>
          <w:kern w:val="0"/>
          <w:sz w:val="24"/>
          <w:szCs w:val="24"/>
        </w:rPr>
        <w:t>需要占据</w:t>
      </w:r>
      <w:r>
        <w:rPr>
          <w:rFonts w:hint="eastAsia" w:ascii="宋体" w:hAnsi="宋体" w:cs="宋体"/>
          <w:kern w:val="0"/>
          <w:sz w:val="24"/>
          <w:szCs w:val="24"/>
        </w:rPr>
        <w:t>CPU资源，</w:t>
      </w:r>
      <w:r>
        <w:rPr>
          <w:rFonts w:ascii="宋体" w:hAnsi="宋体" w:cs="宋体"/>
          <w:kern w:val="0"/>
          <w:sz w:val="24"/>
          <w:szCs w:val="24"/>
        </w:rPr>
        <w:t>比如</w:t>
      </w:r>
      <w:r>
        <w:rPr>
          <w:rFonts w:hint="eastAsia" w:ascii="宋体" w:hAnsi="宋体" w:cs="宋体"/>
          <w:kern w:val="0"/>
          <w:sz w:val="24"/>
          <w:szCs w:val="24"/>
        </w:rPr>
        <w:t>10</w:t>
      </w:r>
      <w:r>
        <w:rPr>
          <w:rFonts w:ascii="宋体" w:hAnsi="宋体" w:cs="宋体"/>
          <w:kern w:val="0"/>
          <w:sz w:val="24"/>
          <w:szCs w:val="24"/>
        </w:rPr>
        <w:t>%，同时还要预留资源</w:t>
      </w:r>
      <w:r>
        <w:rPr>
          <w:rFonts w:hint="eastAsia" w:ascii="宋体" w:hAnsi="宋体" w:cs="宋体"/>
          <w:kern w:val="0"/>
          <w:sz w:val="24"/>
          <w:szCs w:val="24"/>
        </w:rPr>
        <w:t>应对</w:t>
      </w:r>
      <w:r>
        <w:rPr>
          <w:rFonts w:ascii="宋体" w:hAnsi="宋体" w:cs="宋体"/>
          <w:kern w:val="0"/>
          <w:sz w:val="24"/>
          <w:szCs w:val="24"/>
        </w:rPr>
        <w:t>故障情况下的虚机迁移这类高可用要求</w:t>
      </w:r>
      <w:r>
        <w:rPr>
          <w:rFonts w:hint="eastAsia" w:ascii="宋体" w:hAnsi="宋体" w:cs="宋体"/>
          <w:kern w:val="0"/>
          <w:sz w:val="24"/>
          <w:szCs w:val="24"/>
        </w:rPr>
        <w:t>，</w:t>
      </w:r>
      <w:r>
        <w:rPr>
          <w:rFonts w:ascii="宋体" w:hAnsi="宋体" w:cs="宋体"/>
          <w:kern w:val="0"/>
          <w:sz w:val="24"/>
          <w:szCs w:val="24"/>
        </w:rPr>
        <w:t>例如预留</w:t>
      </w:r>
      <w:r>
        <w:rPr>
          <w:rFonts w:hint="eastAsia" w:ascii="宋体" w:hAnsi="宋体" w:cs="宋体"/>
          <w:kern w:val="0"/>
          <w:sz w:val="24"/>
          <w:szCs w:val="24"/>
        </w:rPr>
        <w:t>30</w:t>
      </w:r>
      <w:r>
        <w:rPr>
          <w:rFonts w:ascii="宋体" w:hAnsi="宋体" w:cs="宋体"/>
          <w:kern w:val="0"/>
          <w:sz w:val="24"/>
          <w:szCs w:val="24"/>
        </w:rPr>
        <w:t>%的空闲</w:t>
      </w:r>
      <w:r>
        <w:rPr>
          <w:rFonts w:hint="eastAsia" w:ascii="宋体" w:hAnsi="宋体" w:cs="宋体"/>
          <w:kern w:val="0"/>
          <w:sz w:val="24"/>
          <w:szCs w:val="24"/>
        </w:rPr>
        <w:t>，综合下来</w:t>
      </w:r>
      <w:r>
        <w:rPr>
          <w:rFonts w:ascii="宋体" w:hAnsi="宋体" w:cs="宋体"/>
          <w:kern w:val="0"/>
          <w:sz w:val="24"/>
          <w:szCs w:val="24"/>
        </w:rPr>
        <w:t>，</w:t>
      </w:r>
      <w:r>
        <w:rPr>
          <w:rFonts w:hint="eastAsia" w:ascii="宋体" w:hAnsi="宋体" w:cs="宋体"/>
          <w:kern w:val="0"/>
          <w:sz w:val="24"/>
          <w:szCs w:val="24"/>
        </w:rPr>
        <w:t>3200 /(</w:t>
      </w:r>
      <w:r>
        <w:rPr>
          <w:rFonts w:ascii="宋体" w:hAnsi="宋体" w:cs="宋体"/>
          <w:kern w:val="0"/>
          <w:sz w:val="24"/>
          <w:szCs w:val="24"/>
        </w:rPr>
        <w:t>1-10%-30%</w:t>
      </w:r>
      <w:r>
        <w:rPr>
          <w:rFonts w:hint="eastAsia" w:ascii="宋体" w:hAnsi="宋体" w:cs="宋体"/>
          <w:kern w:val="0"/>
          <w:sz w:val="24"/>
          <w:szCs w:val="24"/>
        </w:rPr>
        <w:t>)</w:t>
      </w:r>
      <w:r>
        <w:rPr>
          <w:rFonts w:ascii="宋体" w:hAnsi="宋体" w:cs="宋体"/>
          <w:kern w:val="0"/>
          <w:sz w:val="24"/>
          <w:szCs w:val="24"/>
        </w:rPr>
        <w:t>=5333 vcpu</w:t>
      </w:r>
    </w:p>
    <w:p>
      <w:pPr>
        <w:pStyle w:val="129"/>
        <w:numPr>
          <w:ilvl w:val="0"/>
          <w:numId w:val="17"/>
        </w:numPr>
        <w:spacing w:line="360" w:lineRule="auto"/>
        <w:ind w:firstLineChars="0"/>
        <w:rPr>
          <w:rFonts w:ascii="宋体" w:hAnsi="宋体" w:cs="宋体"/>
          <w:kern w:val="0"/>
          <w:sz w:val="24"/>
          <w:szCs w:val="24"/>
        </w:rPr>
      </w:pPr>
      <w:r>
        <w:rPr>
          <w:rFonts w:hint="eastAsia" w:ascii="宋体" w:hAnsi="宋体" w:cs="宋体"/>
          <w:kern w:val="0"/>
          <w:sz w:val="24"/>
          <w:szCs w:val="24"/>
        </w:rPr>
        <w:t>每台</w:t>
      </w:r>
      <w:r>
        <w:rPr>
          <w:rFonts w:ascii="宋体" w:hAnsi="宋体" w:cs="宋体"/>
          <w:kern w:val="0"/>
          <w:sz w:val="24"/>
          <w:szCs w:val="24"/>
        </w:rPr>
        <w:t>服务器的</w:t>
      </w:r>
      <w:r>
        <w:rPr>
          <w:rFonts w:hint="eastAsia" w:ascii="宋体" w:hAnsi="宋体" w:cs="宋体"/>
          <w:kern w:val="0"/>
          <w:sz w:val="24"/>
          <w:szCs w:val="24"/>
        </w:rPr>
        <w:t>CPU频率</w:t>
      </w:r>
      <w:r>
        <w:rPr>
          <w:rFonts w:ascii="宋体" w:hAnsi="宋体" w:cs="宋体"/>
          <w:kern w:val="0"/>
          <w:sz w:val="24"/>
          <w:szCs w:val="24"/>
        </w:rPr>
        <w:t>和核数</w:t>
      </w:r>
      <w:r>
        <w:rPr>
          <w:rFonts w:hint="eastAsia" w:ascii="宋体" w:hAnsi="宋体" w:cs="宋体"/>
          <w:kern w:val="0"/>
          <w:sz w:val="24"/>
          <w:szCs w:val="24"/>
        </w:rPr>
        <w:t>，首先</w:t>
      </w:r>
      <w:r>
        <w:rPr>
          <w:rFonts w:ascii="宋体" w:hAnsi="宋体" w:cs="宋体"/>
          <w:kern w:val="0"/>
          <w:sz w:val="24"/>
          <w:szCs w:val="24"/>
        </w:rPr>
        <w:t>，</w:t>
      </w:r>
      <w:r>
        <w:rPr>
          <w:rFonts w:hint="eastAsia" w:ascii="宋体" w:hAnsi="宋体" w:cs="宋体"/>
          <w:kern w:val="0"/>
          <w:sz w:val="24"/>
          <w:szCs w:val="24"/>
        </w:rPr>
        <w:t>CPU核数</w:t>
      </w:r>
      <w:r>
        <w:rPr>
          <w:rFonts w:ascii="宋体" w:hAnsi="宋体" w:cs="宋体"/>
          <w:kern w:val="0"/>
          <w:sz w:val="24"/>
          <w:szCs w:val="24"/>
        </w:rPr>
        <w:t>是可以</w:t>
      </w:r>
      <w:r>
        <w:rPr>
          <w:rFonts w:ascii="宋体" w:hAnsi="宋体" w:cs="宋体"/>
          <w:b/>
          <w:kern w:val="0"/>
          <w:sz w:val="24"/>
          <w:szCs w:val="24"/>
        </w:rPr>
        <w:t>虚拟化</w:t>
      </w:r>
      <w:r>
        <w:rPr>
          <w:rFonts w:ascii="宋体" w:hAnsi="宋体" w:cs="宋体"/>
          <w:kern w:val="0"/>
          <w:sz w:val="24"/>
          <w:szCs w:val="24"/>
        </w:rPr>
        <w:t>的，</w:t>
      </w:r>
      <w:r>
        <w:rPr>
          <w:rFonts w:hint="eastAsia" w:ascii="宋体" w:hAnsi="宋体" w:cs="宋体"/>
          <w:kern w:val="0"/>
          <w:sz w:val="24"/>
          <w:szCs w:val="24"/>
        </w:rPr>
        <w:t>例如2路16核</w:t>
      </w:r>
      <w:r>
        <w:rPr>
          <w:rFonts w:ascii="宋体" w:hAnsi="宋体" w:cs="宋体"/>
          <w:kern w:val="0"/>
          <w:sz w:val="24"/>
          <w:szCs w:val="24"/>
        </w:rPr>
        <w:t>的</w:t>
      </w:r>
      <w:r>
        <w:rPr>
          <w:rFonts w:hint="eastAsia" w:ascii="宋体" w:hAnsi="宋体" w:cs="宋体"/>
          <w:kern w:val="0"/>
          <w:sz w:val="24"/>
          <w:szCs w:val="24"/>
        </w:rPr>
        <w:t>物理</w:t>
      </w:r>
      <w:r>
        <w:rPr>
          <w:rFonts w:ascii="宋体" w:hAnsi="宋体" w:cs="宋体"/>
          <w:kern w:val="0"/>
          <w:sz w:val="24"/>
          <w:szCs w:val="24"/>
        </w:rPr>
        <w:t>服务器，</w:t>
      </w:r>
      <w:r>
        <w:rPr>
          <w:rFonts w:hint="eastAsia" w:ascii="宋体" w:hAnsi="宋体" w:cs="宋体"/>
          <w:kern w:val="0"/>
          <w:sz w:val="24"/>
          <w:szCs w:val="24"/>
        </w:rPr>
        <w:t>通常是</w:t>
      </w:r>
      <w:r>
        <w:rPr>
          <w:rFonts w:ascii="宋体" w:hAnsi="宋体" w:cs="宋体"/>
          <w:kern w:val="0"/>
          <w:sz w:val="24"/>
          <w:szCs w:val="24"/>
        </w:rPr>
        <w:t>可以一虚</w:t>
      </w:r>
      <w:r>
        <w:rPr>
          <w:rFonts w:hint="eastAsia" w:ascii="宋体" w:hAnsi="宋体" w:cs="宋体"/>
          <w:kern w:val="0"/>
          <w:sz w:val="24"/>
          <w:szCs w:val="24"/>
        </w:rPr>
        <w:t>二</w:t>
      </w:r>
      <w:r>
        <w:rPr>
          <w:rFonts w:ascii="宋体" w:hAnsi="宋体" w:cs="宋体"/>
          <w:kern w:val="0"/>
          <w:sz w:val="24"/>
          <w:szCs w:val="24"/>
        </w:rPr>
        <w:t>的，也就是</w:t>
      </w:r>
      <w:r>
        <w:rPr>
          <w:rFonts w:hint="eastAsia" w:ascii="宋体" w:hAnsi="宋体" w:cs="宋体"/>
          <w:kern w:val="0"/>
          <w:sz w:val="24"/>
          <w:szCs w:val="24"/>
        </w:rPr>
        <w:t>2</w:t>
      </w:r>
      <w:r>
        <w:rPr>
          <w:rFonts w:ascii="宋体" w:hAnsi="宋体" w:cs="宋体"/>
          <w:kern w:val="0"/>
          <w:sz w:val="24"/>
          <w:szCs w:val="24"/>
        </w:rPr>
        <w:t>*16*2=64</w:t>
      </w:r>
      <w:r>
        <w:rPr>
          <w:rFonts w:hint="eastAsia" w:ascii="宋体" w:hAnsi="宋体" w:cs="宋体"/>
          <w:kern w:val="0"/>
          <w:sz w:val="24"/>
          <w:szCs w:val="24"/>
        </w:rPr>
        <w:t>核。其次</w:t>
      </w:r>
      <w:r>
        <w:rPr>
          <w:rFonts w:ascii="宋体" w:hAnsi="宋体" w:cs="宋体"/>
          <w:kern w:val="0"/>
          <w:sz w:val="24"/>
          <w:szCs w:val="24"/>
        </w:rPr>
        <w:t>，</w:t>
      </w:r>
      <w:r>
        <w:rPr>
          <w:rFonts w:hint="eastAsia" w:ascii="宋体" w:hAnsi="宋体" w:cs="宋体"/>
          <w:kern w:val="0"/>
          <w:sz w:val="24"/>
          <w:szCs w:val="24"/>
        </w:rPr>
        <w:t>要</w:t>
      </w:r>
      <w:r>
        <w:rPr>
          <w:rFonts w:ascii="宋体" w:hAnsi="宋体" w:cs="宋体"/>
          <w:kern w:val="0"/>
          <w:sz w:val="24"/>
          <w:szCs w:val="24"/>
        </w:rPr>
        <w:t>根据业务</w:t>
      </w:r>
      <w:r>
        <w:rPr>
          <w:rFonts w:hint="eastAsia" w:ascii="宋体" w:hAnsi="宋体" w:cs="宋体"/>
          <w:kern w:val="0"/>
          <w:sz w:val="24"/>
          <w:szCs w:val="24"/>
        </w:rPr>
        <w:t>的同时繁忙</w:t>
      </w:r>
      <w:r>
        <w:rPr>
          <w:rFonts w:ascii="宋体" w:hAnsi="宋体" w:cs="宋体"/>
          <w:kern w:val="0"/>
          <w:sz w:val="24"/>
          <w:szCs w:val="24"/>
        </w:rPr>
        <w:t>程度来确认</w:t>
      </w:r>
      <w:r>
        <w:rPr>
          <w:rFonts w:ascii="宋体" w:hAnsi="宋体" w:cs="宋体"/>
          <w:b/>
          <w:kern w:val="0"/>
          <w:sz w:val="24"/>
          <w:szCs w:val="24"/>
        </w:rPr>
        <w:t>超分配</w:t>
      </w:r>
      <w:r>
        <w:rPr>
          <w:rFonts w:ascii="宋体" w:hAnsi="宋体" w:cs="宋体"/>
          <w:kern w:val="0"/>
          <w:sz w:val="24"/>
          <w:szCs w:val="24"/>
        </w:rPr>
        <w:t>的程度，</w:t>
      </w:r>
      <w:r>
        <w:rPr>
          <w:rFonts w:hint="eastAsia" w:ascii="宋体" w:hAnsi="宋体" w:cs="宋体"/>
          <w:kern w:val="0"/>
          <w:sz w:val="24"/>
          <w:szCs w:val="24"/>
        </w:rPr>
        <w:t>例如，</w:t>
      </w:r>
      <w:r>
        <w:rPr>
          <w:rFonts w:ascii="宋体" w:hAnsi="宋体" w:cs="宋体"/>
          <w:kern w:val="0"/>
          <w:sz w:val="24"/>
          <w:szCs w:val="24"/>
        </w:rPr>
        <w:t>同一时间，</w:t>
      </w:r>
      <w:r>
        <w:rPr>
          <w:rFonts w:hint="eastAsia" w:ascii="宋体" w:hAnsi="宋体" w:cs="宋体"/>
          <w:kern w:val="0"/>
          <w:sz w:val="24"/>
          <w:szCs w:val="24"/>
        </w:rPr>
        <w:t>1000台</w:t>
      </w:r>
      <w:r>
        <w:rPr>
          <w:rFonts w:ascii="宋体" w:hAnsi="宋体" w:cs="宋体"/>
          <w:kern w:val="0"/>
          <w:sz w:val="24"/>
          <w:szCs w:val="24"/>
        </w:rPr>
        <w:t>虚机，只有</w:t>
      </w:r>
      <w:r>
        <w:rPr>
          <w:rFonts w:hint="eastAsia" w:ascii="宋体" w:hAnsi="宋体" w:cs="宋体"/>
          <w:kern w:val="0"/>
          <w:sz w:val="24"/>
          <w:szCs w:val="24"/>
        </w:rPr>
        <w:t>200台</w:t>
      </w:r>
      <w:r>
        <w:rPr>
          <w:rFonts w:ascii="宋体" w:hAnsi="宋体" w:cs="宋体"/>
          <w:kern w:val="0"/>
          <w:sz w:val="24"/>
          <w:szCs w:val="24"/>
        </w:rPr>
        <w:t>再满负荷运行，</w:t>
      </w:r>
      <w:r>
        <w:rPr>
          <w:rFonts w:hint="eastAsia" w:ascii="宋体" w:hAnsi="宋体" w:cs="宋体"/>
          <w:kern w:val="0"/>
          <w:sz w:val="24"/>
          <w:szCs w:val="24"/>
        </w:rPr>
        <w:t>即五分之一在跑，</w:t>
      </w:r>
      <w:r>
        <w:rPr>
          <w:rFonts w:ascii="宋体" w:hAnsi="宋体" w:cs="宋体"/>
          <w:kern w:val="0"/>
          <w:sz w:val="24"/>
          <w:szCs w:val="24"/>
        </w:rPr>
        <w:t>那么超分配可以开到</w:t>
      </w:r>
      <w:r>
        <w:rPr>
          <w:rFonts w:hint="eastAsia" w:ascii="宋体" w:hAnsi="宋体" w:cs="宋体"/>
          <w:kern w:val="0"/>
          <w:sz w:val="24"/>
          <w:szCs w:val="24"/>
        </w:rPr>
        <w:t>200</w:t>
      </w:r>
      <w:r>
        <w:rPr>
          <w:rFonts w:ascii="宋体" w:hAnsi="宋体" w:cs="宋体"/>
          <w:kern w:val="0"/>
          <w:sz w:val="24"/>
          <w:szCs w:val="24"/>
        </w:rPr>
        <w:t>%</w:t>
      </w:r>
      <w:r>
        <w:rPr>
          <w:rFonts w:hint="eastAsia" w:ascii="宋体" w:hAnsi="宋体" w:cs="宋体"/>
          <w:kern w:val="0"/>
          <w:sz w:val="24"/>
          <w:szCs w:val="24"/>
        </w:rPr>
        <w:t>，</w:t>
      </w:r>
      <w:r>
        <w:rPr>
          <w:rFonts w:ascii="宋体" w:hAnsi="宋体" w:cs="宋体"/>
          <w:kern w:val="0"/>
          <w:sz w:val="24"/>
          <w:szCs w:val="24"/>
        </w:rPr>
        <w:t>即</w:t>
      </w:r>
      <w:r>
        <w:rPr>
          <w:rFonts w:hint="eastAsia" w:ascii="宋体" w:hAnsi="宋体" w:cs="宋体"/>
          <w:kern w:val="0"/>
          <w:sz w:val="24"/>
          <w:szCs w:val="24"/>
        </w:rPr>
        <w:t>64核</w:t>
      </w:r>
      <w:r>
        <w:rPr>
          <w:rFonts w:ascii="宋体" w:hAnsi="宋体" w:cs="宋体"/>
          <w:kern w:val="0"/>
          <w:sz w:val="24"/>
          <w:szCs w:val="24"/>
        </w:rPr>
        <w:t>+64*200%=192</w:t>
      </w:r>
      <w:r>
        <w:rPr>
          <w:rFonts w:hint="eastAsia" w:ascii="宋体" w:hAnsi="宋体" w:cs="宋体"/>
          <w:kern w:val="0"/>
          <w:sz w:val="24"/>
          <w:szCs w:val="24"/>
        </w:rPr>
        <w:t>核。然后</w:t>
      </w:r>
      <w:r>
        <w:rPr>
          <w:rFonts w:ascii="宋体" w:hAnsi="宋体" w:cs="宋体"/>
          <w:kern w:val="0"/>
          <w:sz w:val="24"/>
          <w:szCs w:val="24"/>
        </w:rPr>
        <w:t>，集群</w:t>
      </w:r>
      <w:r>
        <w:rPr>
          <w:rFonts w:hint="eastAsia" w:ascii="宋体" w:hAnsi="宋体" w:cs="宋体"/>
          <w:kern w:val="0"/>
          <w:sz w:val="24"/>
          <w:szCs w:val="24"/>
        </w:rPr>
        <w:t>总的</w:t>
      </w:r>
      <w:r>
        <w:rPr>
          <w:rFonts w:ascii="宋体" w:hAnsi="宋体" w:cs="宋体"/>
          <w:kern w:val="0"/>
          <w:sz w:val="24"/>
          <w:szCs w:val="24"/>
        </w:rPr>
        <w:t>业务</w:t>
      </w:r>
      <w:r>
        <w:rPr>
          <w:rFonts w:hint="eastAsia" w:ascii="宋体" w:hAnsi="宋体" w:cs="宋体"/>
          <w:kern w:val="0"/>
          <w:sz w:val="24"/>
          <w:szCs w:val="24"/>
        </w:rPr>
        <w:t>CPU核数</w:t>
      </w:r>
      <w:r>
        <w:rPr>
          <w:rFonts w:ascii="宋体" w:hAnsi="宋体" w:cs="宋体"/>
          <w:kern w:val="0"/>
          <w:sz w:val="24"/>
          <w:szCs w:val="24"/>
        </w:rPr>
        <w:t>，除以</w:t>
      </w:r>
      <w:r>
        <w:rPr>
          <w:rFonts w:hint="eastAsia" w:ascii="宋体" w:hAnsi="宋体" w:cs="宋体"/>
          <w:kern w:val="0"/>
          <w:sz w:val="24"/>
          <w:szCs w:val="24"/>
        </w:rPr>
        <w:t>单</w:t>
      </w:r>
      <w:r>
        <w:rPr>
          <w:rFonts w:ascii="宋体" w:hAnsi="宋体" w:cs="宋体"/>
          <w:kern w:val="0"/>
          <w:sz w:val="24"/>
          <w:szCs w:val="24"/>
        </w:rPr>
        <w:t>服务器的</w:t>
      </w:r>
      <w:r>
        <w:rPr>
          <w:rFonts w:hint="eastAsia" w:ascii="宋体" w:hAnsi="宋体" w:cs="宋体"/>
          <w:kern w:val="0"/>
          <w:sz w:val="24"/>
          <w:szCs w:val="24"/>
        </w:rPr>
        <w:t>核数，就</w:t>
      </w:r>
      <w:r>
        <w:rPr>
          <w:rFonts w:ascii="宋体" w:hAnsi="宋体" w:cs="宋体"/>
          <w:kern w:val="0"/>
          <w:sz w:val="24"/>
          <w:szCs w:val="24"/>
        </w:rPr>
        <w:t>可以算出服务器数量。</w:t>
      </w:r>
      <w:r>
        <w:rPr>
          <w:rFonts w:hint="eastAsia" w:ascii="宋体" w:hAnsi="宋体" w:cs="宋体"/>
          <w:kern w:val="0"/>
          <w:sz w:val="24"/>
          <w:szCs w:val="24"/>
        </w:rPr>
        <w:t>例如</w:t>
      </w:r>
      <w:r>
        <w:rPr>
          <w:rFonts w:ascii="宋体" w:hAnsi="宋体" w:cs="宋体"/>
          <w:kern w:val="0"/>
          <w:sz w:val="24"/>
          <w:szCs w:val="24"/>
        </w:rPr>
        <w:t>：</w:t>
      </w:r>
      <w:r>
        <w:rPr>
          <w:rFonts w:hint="eastAsia" w:ascii="宋体" w:hAnsi="宋体" w:cs="宋体"/>
          <w:kern w:val="0"/>
          <w:sz w:val="24"/>
          <w:szCs w:val="24"/>
        </w:rPr>
        <w:t>5333/192=</w:t>
      </w:r>
      <w:r>
        <w:rPr>
          <w:rFonts w:ascii="宋体" w:hAnsi="宋体" w:cs="宋体"/>
          <w:kern w:val="0"/>
          <w:sz w:val="24"/>
          <w:szCs w:val="24"/>
        </w:rPr>
        <w:t>28</w:t>
      </w:r>
      <w:r>
        <w:rPr>
          <w:rFonts w:hint="eastAsia" w:ascii="宋体" w:hAnsi="宋体" w:cs="宋体"/>
          <w:kern w:val="0"/>
          <w:sz w:val="24"/>
          <w:szCs w:val="24"/>
        </w:rPr>
        <w:t>台</w:t>
      </w:r>
      <w:r>
        <w:rPr>
          <w:rFonts w:ascii="宋体" w:hAnsi="宋体" w:cs="宋体"/>
          <w:kern w:val="0"/>
          <w:sz w:val="24"/>
          <w:szCs w:val="24"/>
        </w:rPr>
        <w:t>服务器。</w:t>
      </w:r>
      <w:r>
        <w:rPr>
          <w:rFonts w:hint="eastAsia" w:ascii="宋体" w:hAnsi="宋体" w:cs="宋体"/>
          <w:kern w:val="0"/>
          <w:sz w:val="24"/>
          <w:szCs w:val="24"/>
        </w:rPr>
        <w:t>CPU</w:t>
      </w:r>
      <w:r>
        <w:rPr>
          <w:rFonts w:ascii="宋体" w:hAnsi="宋体" w:cs="宋体"/>
          <w:kern w:val="0"/>
          <w:sz w:val="24"/>
          <w:szCs w:val="24"/>
        </w:rPr>
        <w:t>频率</w:t>
      </w:r>
      <w:r>
        <w:rPr>
          <w:rFonts w:hint="eastAsia" w:ascii="宋体" w:hAnsi="宋体" w:cs="宋体"/>
          <w:kern w:val="0"/>
          <w:sz w:val="24"/>
          <w:szCs w:val="24"/>
        </w:rPr>
        <w:t>大小决定</w:t>
      </w:r>
      <w:r>
        <w:rPr>
          <w:rFonts w:ascii="宋体" w:hAnsi="宋体" w:cs="宋体"/>
          <w:kern w:val="0"/>
          <w:sz w:val="24"/>
          <w:szCs w:val="24"/>
        </w:rPr>
        <w:t>单核性能</w:t>
      </w:r>
      <w:r>
        <w:rPr>
          <w:rFonts w:hint="eastAsia" w:ascii="宋体" w:hAnsi="宋体" w:cs="宋体"/>
          <w:kern w:val="0"/>
          <w:sz w:val="24"/>
          <w:szCs w:val="24"/>
        </w:rPr>
        <w:t>高低</w:t>
      </w:r>
      <w:r>
        <w:rPr>
          <w:rFonts w:ascii="宋体" w:hAnsi="宋体" w:cs="宋体"/>
          <w:kern w:val="0"/>
          <w:sz w:val="24"/>
          <w:szCs w:val="24"/>
        </w:rPr>
        <w:t>，它的</w:t>
      </w:r>
      <w:r>
        <w:rPr>
          <w:rFonts w:hint="eastAsia" w:ascii="宋体" w:hAnsi="宋体" w:cs="宋体"/>
          <w:kern w:val="0"/>
          <w:sz w:val="24"/>
          <w:szCs w:val="24"/>
        </w:rPr>
        <w:t>大小是</w:t>
      </w:r>
      <w:r>
        <w:rPr>
          <w:rFonts w:ascii="宋体" w:hAnsi="宋体" w:cs="宋体"/>
          <w:kern w:val="0"/>
          <w:sz w:val="24"/>
          <w:szCs w:val="24"/>
        </w:rPr>
        <w:t>基于</w:t>
      </w:r>
      <w:r>
        <w:rPr>
          <w:rFonts w:hint="eastAsia" w:ascii="宋体" w:hAnsi="宋体" w:cs="宋体"/>
          <w:kern w:val="0"/>
          <w:sz w:val="24"/>
          <w:szCs w:val="24"/>
        </w:rPr>
        <w:t>真实</w:t>
      </w:r>
      <w:r>
        <w:rPr>
          <w:rFonts w:ascii="宋体" w:hAnsi="宋体" w:cs="宋体"/>
          <w:kern w:val="0"/>
          <w:sz w:val="24"/>
          <w:szCs w:val="24"/>
        </w:rPr>
        <w:t>业务需求</w:t>
      </w:r>
      <w:r>
        <w:rPr>
          <w:rFonts w:hint="eastAsia" w:ascii="宋体" w:hAnsi="宋体" w:cs="宋体"/>
          <w:kern w:val="0"/>
          <w:sz w:val="24"/>
          <w:szCs w:val="24"/>
        </w:rPr>
        <w:t>和</w:t>
      </w:r>
      <w:r>
        <w:rPr>
          <w:rFonts w:ascii="宋体" w:hAnsi="宋体" w:cs="宋体"/>
          <w:kern w:val="0"/>
          <w:sz w:val="24"/>
          <w:szCs w:val="24"/>
        </w:rPr>
        <w:t>成本平衡得到的。</w:t>
      </w:r>
    </w:p>
    <w:p>
      <w:pPr>
        <w:pStyle w:val="129"/>
        <w:numPr>
          <w:ilvl w:val="0"/>
          <w:numId w:val="16"/>
        </w:numPr>
        <w:spacing w:line="360" w:lineRule="auto"/>
        <w:ind w:firstLineChars="0"/>
        <w:rPr>
          <w:rFonts w:eastAsia="黑体"/>
          <w:color w:val="800000"/>
          <w:kern w:val="0"/>
          <w:sz w:val="24"/>
          <w:szCs w:val="24"/>
        </w:rPr>
      </w:pPr>
      <w:r>
        <w:rPr>
          <w:rFonts w:hint="eastAsia" w:eastAsia="黑体"/>
          <w:color w:val="800000"/>
          <w:kern w:val="0"/>
          <w:sz w:val="24"/>
          <w:szCs w:val="24"/>
        </w:rPr>
        <w:t>内存的</w:t>
      </w:r>
      <w:r>
        <w:rPr>
          <w:rFonts w:eastAsia="黑体"/>
          <w:color w:val="800000"/>
          <w:kern w:val="0"/>
          <w:sz w:val="24"/>
          <w:szCs w:val="24"/>
        </w:rPr>
        <w:t>规划</w:t>
      </w:r>
    </w:p>
    <w:p>
      <w:pPr>
        <w:spacing w:line="360" w:lineRule="auto"/>
        <w:ind w:left="0" w:firstLine="420"/>
        <w:rPr>
          <w:rFonts w:ascii="宋体" w:hAnsi="宋体" w:cs="宋体"/>
          <w:kern w:val="0"/>
          <w:sz w:val="24"/>
          <w:szCs w:val="24"/>
        </w:rPr>
      </w:pPr>
      <w:r>
        <w:rPr>
          <w:rFonts w:hint="eastAsia" w:ascii="宋体" w:hAnsi="宋体" w:cs="宋体"/>
          <w:kern w:val="0"/>
          <w:sz w:val="24"/>
          <w:szCs w:val="24"/>
        </w:rPr>
        <w:t>集群内存的规划</w:t>
      </w:r>
      <w:r>
        <w:rPr>
          <w:rFonts w:ascii="宋体" w:hAnsi="宋体" w:cs="宋体"/>
          <w:kern w:val="0"/>
          <w:sz w:val="24"/>
          <w:szCs w:val="24"/>
        </w:rPr>
        <w:t>包含</w:t>
      </w:r>
      <w:r>
        <w:rPr>
          <w:rFonts w:hint="eastAsia" w:ascii="宋体" w:hAnsi="宋体" w:cs="宋体"/>
          <w:kern w:val="0"/>
          <w:sz w:val="24"/>
          <w:szCs w:val="24"/>
        </w:rPr>
        <w:t>业务</w:t>
      </w:r>
      <w:r>
        <w:rPr>
          <w:rFonts w:ascii="宋体" w:hAnsi="宋体" w:cs="宋体"/>
          <w:kern w:val="0"/>
          <w:sz w:val="24"/>
          <w:szCs w:val="24"/>
        </w:rPr>
        <w:t>层面</w:t>
      </w:r>
      <w:r>
        <w:rPr>
          <w:rFonts w:hint="eastAsia" w:ascii="宋体" w:hAnsi="宋体" w:cs="宋体"/>
          <w:kern w:val="0"/>
          <w:sz w:val="24"/>
          <w:szCs w:val="24"/>
        </w:rPr>
        <w:t>、物理</w:t>
      </w:r>
      <w:r>
        <w:rPr>
          <w:rFonts w:ascii="宋体" w:hAnsi="宋体" w:cs="宋体"/>
          <w:kern w:val="0"/>
          <w:sz w:val="24"/>
          <w:szCs w:val="24"/>
        </w:rPr>
        <w:t>层面</w:t>
      </w:r>
      <w:r>
        <w:rPr>
          <w:rFonts w:hint="eastAsia" w:ascii="宋体" w:hAnsi="宋体" w:cs="宋体"/>
          <w:kern w:val="0"/>
          <w:sz w:val="24"/>
          <w:szCs w:val="24"/>
        </w:rPr>
        <w:t>和</w:t>
      </w:r>
      <w:r>
        <w:rPr>
          <w:rFonts w:ascii="宋体" w:hAnsi="宋体" w:cs="宋体"/>
          <w:kern w:val="0"/>
          <w:sz w:val="24"/>
          <w:szCs w:val="24"/>
        </w:rPr>
        <w:t>配置层面</w:t>
      </w:r>
      <w:r>
        <w:rPr>
          <w:rFonts w:hint="eastAsia" w:ascii="宋体" w:hAnsi="宋体" w:cs="宋体"/>
          <w:kern w:val="0"/>
          <w:sz w:val="24"/>
          <w:szCs w:val="24"/>
        </w:rPr>
        <w:t>，</w:t>
      </w:r>
      <w:r>
        <w:rPr>
          <w:rFonts w:ascii="宋体" w:hAnsi="宋体" w:cs="宋体"/>
          <w:kern w:val="0"/>
          <w:sz w:val="24"/>
          <w:szCs w:val="24"/>
        </w:rPr>
        <w:t>即</w:t>
      </w:r>
      <w:r>
        <w:rPr>
          <w:rFonts w:hint="eastAsia" w:ascii="宋体" w:hAnsi="宋体" w:cs="宋体"/>
          <w:kern w:val="0"/>
          <w:sz w:val="24"/>
          <w:szCs w:val="24"/>
        </w:rPr>
        <w:t>虚拟机</w:t>
      </w:r>
      <w:r>
        <w:rPr>
          <w:rFonts w:ascii="宋体" w:hAnsi="宋体" w:cs="宋体"/>
          <w:kern w:val="0"/>
          <w:sz w:val="24"/>
          <w:szCs w:val="24"/>
        </w:rPr>
        <w:t>的</w:t>
      </w:r>
      <w:r>
        <w:rPr>
          <w:rFonts w:hint="eastAsia" w:ascii="宋体" w:hAnsi="宋体" w:cs="宋体"/>
          <w:kern w:val="0"/>
          <w:sz w:val="24"/>
          <w:szCs w:val="24"/>
        </w:rPr>
        <w:t>内存需求</w:t>
      </w:r>
      <w:r>
        <w:rPr>
          <w:rFonts w:ascii="宋体" w:hAnsi="宋体" w:cs="宋体"/>
          <w:kern w:val="0"/>
          <w:sz w:val="24"/>
          <w:szCs w:val="24"/>
        </w:rPr>
        <w:t>，</w:t>
      </w:r>
      <w:r>
        <w:rPr>
          <w:rFonts w:hint="eastAsia" w:ascii="宋体" w:hAnsi="宋体" w:cs="宋体"/>
          <w:kern w:val="0"/>
          <w:sz w:val="24"/>
          <w:szCs w:val="24"/>
        </w:rPr>
        <w:t>集群</w:t>
      </w:r>
      <w:r>
        <w:rPr>
          <w:rFonts w:ascii="宋体" w:hAnsi="宋体" w:cs="宋体"/>
          <w:kern w:val="0"/>
          <w:sz w:val="24"/>
          <w:szCs w:val="24"/>
        </w:rPr>
        <w:t>的</w:t>
      </w:r>
      <w:r>
        <w:rPr>
          <w:rFonts w:hint="eastAsia" w:ascii="宋体" w:hAnsi="宋体" w:cs="宋体"/>
          <w:kern w:val="0"/>
          <w:sz w:val="24"/>
          <w:szCs w:val="24"/>
        </w:rPr>
        <w:t>内存总数</w:t>
      </w:r>
      <w:r>
        <w:rPr>
          <w:rFonts w:ascii="宋体" w:hAnsi="宋体" w:cs="宋体"/>
          <w:kern w:val="0"/>
          <w:sz w:val="24"/>
          <w:szCs w:val="24"/>
        </w:rPr>
        <w:t>以及每台</w:t>
      </w:r>
      <w:r>
        <w:rPr>
          <w:rFonts w:hint="eastAsia" w:ascii="宋体" w:hAnsi="宋体" w:cs="宋体"/>
          <w:kern w:val="0"/>
          <w:sz w:val="24"/>
          <w:szCs w:val="24"/>
        </w:rPr>
        <w:t>服务器</w:t>
      </w:r>
      <w:r>
        <w:rPr>
          <w:rFonts w:ascii="宋体" w:hAnsi="宋体" w:cs="宋体"/>
          <w:kern w:val="0"/>
          <w:sz w:val="24"/>
          <w:szCs w:val="24"/>
        </w:rPr>
        <w:t>的</w:t>
      </w:r>
      <w:r>
        <w:rPr>
          <w:rFonts w:hint="eastAsia" w:ascii="宋体" w:hAnsi="宋体" w:cs="宋体"/>
          <w:kern w:val="0"/>
          <w:sz w:val="24"/>
          <w:szCs w:val="24"/>
        </w:rPr>
        <w:t>内存大小</w:t>
      </w:r>
      <w:r>
        <w:rPr>
          <w:rFonts w:ascii="宋体" w:hAnsi="宋体" w:cs="宋体"/>
          <w:kern w:val="0"/>
          <w:sz w:val="24"/>
          <w:szCs w:val="24"/>
        </w:rPr>
        <w:t>。</w:t>
      </w:r>
    </w:p>
    <w:p>
      <w:pPr>
        <w:spacing w:line="360" w:lineRule="auto"/>
        <w:ind w:left="0" w:firstLine="420"/>
        <w:rPr>
          <w:rFonts w:ascii="宋体" w:hAnsi="宋体" w:cs="宋体"/>
          <w:kern w:val="0"/>
          <w:sz w:val="24"/>
          <w:szCs w:val="24"/>
        </w:rPr>
      </w:pPr>
      <w:r>
        <w:rPr>
          <w:rFonts w:hint="eastAsia" w:ascii="宋体" w:hAnsi="宋体" w:cs="宋体"/>
          <w:kern w:val="0"/>
          <w:sz w:val="24"/>
          <w:szCs w:val="24"/>
        </w:rPr>
        <w:t>算法如下</w:t>
      </w:r>
      <w:r>
        <w:rPr>
          <w:rFonts w:ascii="宋体" w:hAnsi="宋体" w:cs="宋体"/>
          <w:kern w:val="0"/>
          <w:sz w:val="24"/>
          <w:szCs w:val="24"/>
        </w:rPr>
        <w:t>：</w:t>
      </w:r>
    </w:p>
    <w:p>
      <w:pPr>
        <w:spacing w:line="360" w:lineRule="auto"/>
        <w:ind w:left="0" w:firstLine="420"/>
        <w:rPr>
          <w:rFonts w:ascii="宋体" w:hAnsi="宋体" w:cs="宋体"/>
          <w:kern w:val="0"/>
          <w:sz w:val="24"/>
          <w:szCs w:val="24"/>
        </w:rPr>
      </w:pPr>
      <w:r>
        <w:rPr>
          <w:rFonts w:hint="eastAsia" w:ascii="宋体" w:hAnsi="宋体" w:cs="宋体"/>
          <w:kern w:val="0"/>
          <w:sz w:val="24"/>
          <w:szCs w:val="24"/>
        </w:rPr>
        <w:t>（虚机内存 * 虚机数量）/（1 - 预留资源比例 - 系统占用比例）/ 超分配比例 = 节点内存配置 * 节点数量；</w:t>
      </w:r>
    </w:p>
    <w:p>
      <w:pPr>
        <w:spacing w:line="360" w:lineRule="auto"/>
        <w:ind w:left="0" w:firstLine="420"/>
        <w:rPr>
          <w:rFonts w:ascii="宋体" w:hAnsi="宋体" w:cs="宋体"/>
          <w:kern w:val="0"/>
          <w:sz w:val="24"/>
          <w:szCs w:val="24"/>
        </w:rPr>
      </w:pPr>
    </w:p>
    <w:p>
      <w:pPr>
        <w:pStyle w:val="129"/>
        <w:numPr>
          <w:ilvl w:val="0"/>
          <w:numId w:val="18"/>
        </w:numPr>
        <w:spacing w:line="360" w:lineRule="auto"/>
        <w:ind w:firstLineChars="0"/>
        <w:rPr>
          <w:rFonts w:ascii="宋体" w:hAnsi="宋体" w:cs="宋体"/>
          <w:kern w:val="0"/>
          <w:sz w:val="24"/>
          <w:szCs w:val="24"/>
        </w:rPr>
      </w:pPr>
      <w:r>
        <w:rPr>
          <w:rFonts w:hint="eastAsia" w:ascii="宋体" w:hAnsi="宋体" w:cs="宋体"/>
          <w:kern w:val="0"/>
          <w:sz w:val="24"/>
          <w:szCs w:val="24"/>
        </w:rPr>
        <w:t>虚拟机</w:t>
      </w:r>
      <w:r>
        <w:rPr>
          <w:rFonts w:ascii="宋体" w:hAnsi="宋体" w:cs="宋体"/>
          <w:kern w:val="0"/>
          <w:sz w:val="24"/>
          <w:szCs w:val="24"/>
        </w:rPr>
        <w:t>的内存需求</w:t>
      </w:r>
      <w:r>
        <w:rPr>
          <w:rFonts w:hint="eastAsia" w:ascii="宋体" w:hAnsi="宋体" w:cs="宋体"/>
          <w:kern w:val="0"/>
          <w:sz w:val="24"/>
          <w:szCs w:val="24"/>
        </w:rPr>
        <w:t>，</w:t>
      </w:r>
      <w:r>
        <w:rPr>
          <w:rFonts w:ascii="宋体" w:hAnsi="宋体" w:cs="宋体"/>
          <w:kern w:val="0"/>
          <w:sz w:val="24"/>
          <w:szCs w:val="24"/>
        </w:rPr>
        <w:t>简单来说，</w:t>
      </w:r>
      <w:r>
        <w:rPr>
          <w:rFonts w:hint="eastAsia" w:ascii="宋体" w:hAnsi="宋体" w:cs="宋体"/>
          <w:kern w:val="0"/>
          <w:sz w:val="24"/>
          <w:szCs w:val="24"/>
        </w:rPr>
        <w:t>计划承载1000台</w:t>
      </w:r>
      <w:r>
        <w:rPr>
          <w:rFonts w:ascii="宋体" w:hAnsi="宋体" w:cs="宋体"/>
          <w:kern w:val="0"/>
          <w:sz w:val="24"/>
          <w:szCs w:val="24"/>
        </w:rPr>
        <w:t>虚机，</w:t>
      </w:r>
      <w:r>
        <w:rPr>
          <w:rFonts w:hint="eastAsia" w:ascii="宋体" w:hAnsi="宋体" w:cs="宋体"/>
          <w:kern w:val="0"/>
          <w:sz w:val="24"/>
          <w:szCs w:val="24"/>
        </w:rPr>
        <w:t>其中有高性能</w:t>
      </w:r>
      <w:r>
        <w:rPr>
          <w:rFonts w:ascii="宋体" w:hAnsi="宋体" w:cs="宋体"/>
          <w:kern w:val="0"/>
          <w:sz w:val="24"/>
          <w:szCs w:val="24"/>
        </w:rPr>
        <w:t>虚机，每虚机占</w:t>
      </w:r>
      <w:r>
        <w:rPr>
          <w:rFonts w:hint="eastAsia" w:ascii="宋体" w:hAnsi="宋体" w:cs="宋体"/>
          <w:kern w:val="0"/>
          <w:sz w:val="24"/>
          <w:szCs w:val="24"/>
        </w:rPr>
        <w:t>16G，</w:t>
      </w:r>
      <w:r>
        <w:rPr>
          <w:rFonts w:ascii="宋体" w:hAnsi="宋体" w:cs="宋体"/>
          <w:kern w:val="0"/>
          <w:sz w:val="24"/>
          <w:szCs w:val="24"/>
        </w:rPr>
        <w:t>有</w:t>
      </w:r>
      <w:r>
        <w:rPr>
          <w:rFonts w:hint="eastAsia" w:ascii="宋体" w:hAnsi="宋体" w:cs="宋体"/>
          <w:kern w:val="0"/>
          <w:sz w:val="24"/>
          <w:szCs w:val="24"/>
        </w:rPr>
        <w:t>200台</w:t>
      </w:r>
      <w:r>
        <w:rPr>
          <w:rFonts w:ascii="宋体" w:hAnsi="宋体" w:cs="宋体"/>
          <w:kern w:val="0"/>
          <w:sz w:val="24"/>
          <w:szCs w:val="24"/>
        </w:rPr>
        <w:t>，</w:t>
      </w:r>
      <w:r>
        <w:rPr>
          <w:rFonts w:hint="eastAsia" w:ascii="宋体" w:hAnsi="宋体" w:cs="宋体"/>
          <w:kern w:val="0"/>
          <w:sz w:val="24"/>
          <w:szCs w:val="24"/>
        </w:rPr>
        <w:t>常规型</w:t>
      </w:r>
      <w:r>
        <w:rPr>
          <w:rFonts w:ascii="宋体" w:hAnsi="宋体" w:cs="宋体"/>
          <w:kern w:val="0"/>
          <w:sz w:val="24"/>
          <w:szCs w:val="24"/>
        </w:rPr>
        <w:t>虚机</w:t>
      </w:r>
      <w:r>
        <w:rPr>
          <w:rFonts w:hint="eastAsia" w:ascii="宋体" w:hAnsi="宋体" w:cs="宋体"/>
          <w:kern w:val="0"/>
          <w:sz w:val="24"/>
          <w:szCs w:val="24"/>
        </w:rPr>
        <w:t>每</w:t>
      </w:r>
      <w:r>
        <w:rPr>
          <w:rFonts w:ascii="宋体" w:hAnsi="宋体" w:cs="宋体"/>
          <w:kern w:val="0"/>
          <w:sz w:val="24"/>
          <w:szCs w:val="24"/>
        </w:rPr>
        <w:t>个</w:t>
      </w:r>
      <w:r>
        <w:rPr>
          <w:rFonts w:hint="eastAsia" w:ascii="宋体" w:hAnsi="宋体" w:cs="宋体"/>
          <w:kern w:val="0"/>
          <w:sz w:val="24"/>
          <w:szCs w:val="24"/>
        </w:rPr>
        <w:t>8G或者4G，</w:t>
      </w:r>
      <w:r>
        <w:rPr>
          <w:rFonts w:ascii="宋体" w:hAnsi="宋体" w:cs="宋体"/>
          <w:kern w:val="0"/>
          <w:sz w:val="24"/>
          <w:szCs w:val="24"/>
        </w:rPr>
        <w:t>分别是</w:t>
      </w:r>
      <w:r>
        <w:rPr>
          <w:rFonts w:hint="eastAsia" w:ascii="宋体" w:hAnsi="宋体" w:cs="宋体"/>
          <w:kern w:val="0"/>
          <w:sz w:val="24"/>
          <w:szCs w:val="24"/>
        </w:rPr>
        <w:t>300台和500台</w:t>
      </w:r>
      <w:r>
        <w:rPr>
          <w:rFonts w:ascii="宋体" w:hAnsi="宋体" w:cs="宋体"/>
          <w:kern w:val="0"/>
          <w:sz w:val="24"/>
          <w:szCs w:val="24"/>
        </w:rPr>
        <w:t>，然后按照</w:t>
      </w:r>
      <w:r>
        <w:rPr>
          <w:rFonts w:hint="eastAsia" w:ascii="宋体" w:hAnsi="宋体" w:cs="宋体"/>
          <w:kern w:val="0"/>
          <w:sz w:val="24"/>
          <w:szCs w:val="24"/>
        </w:rPr>
        <w:t>高性能型虚机</w:t>
      </w:r>
      <w:r>
        <w:rPr>
          <w:rFonts w:ascii="宋体" w:hAnsi="宋体" w:cs="宋体"/>
          <w:kern w:val="0"/>
          <w:sz w:val="24"/>
          <w:szCs w:val="24"/>
        </w:rPr>
        <w:t>的数量，常规型</w:t>
      </w:r>
      <w:r>
        <w:rPr>
          <w:rFonts w:hint="eastAsia" w:ascii="宋体" w:hAnsi="宋体" w:cs="宋体"/>
          <w:kern w:val="0"/>
          <w:sz w:val="24"/>
          <w:szCs w:val="24"/>
        </w:rPr>
        <w:t>数量</w:t>
      </w:r>
      <w:r>
        <w:rPr>
          <w:rFonts w:ascii="宋体" w:hAnsi="宋体" w:cs="宋体"/>
          <w:kern w:val="0"/>
          <w:sz w:val="24"/>
          <w:szCs w:val="24"/>
        </w:rPr>
        <w:t>，计算出总的业务</w:t>
      </w:r>
      <w:r>
        <w:rPr>
          <w:rFonts w:hint="eastAsia" w:ascii="宋体" w:hAnsi="宋体" w:cs="宋体"/>
          <w:kern w:val="0"/>
          <w:sz w:val="24"/>
          <w:szCs w:val="24"/>
        </w:rPr>
        <w:t>内存</w:t>
      </w:r>
      <w:r>
        <w:rPr>
          <w:rFonts w:ascii="宋体" w:hAnsi="宋体" w:cs="宋体"/>
          <w:kern w:val="0"/>
          <w:sz w:val="24"/>
          <w:szCs w:val="24"/>
        </w:rPr>
        <w:t>大小。</w:t>
      </w:r>
      <w:r>
        <w:rPr>
          <w:rFonts w:hint="eastAsia" w:ascii="宋体" w:hAnsi="宋体" w:cs="宋体"/>
          <w:kern w:val="0"/>
          <w:sz w:val="24"/>
          <w:szCs w:val="24"/>
        </w:rPr>
        <w:t>1</w:t>
      </w:r>
      <w:r>
        <w:rPr>
          <w:rFonts w:ascii="宋体" w:hAnsi="宋体" w:cs="宋体"/>
          <w:kern w:val="0"/>
          <w:sz w:val="24"/>
          <w:szCs w:val="24"/>
        </w:rPr>
        <w:t>6*200+8*300 +4*200=3200+2400+800=6400</w:t>
      </w:r>
      <w:r>
        <w:rPr>
          <w:rFonts w:hint="eastAsia" w:ascii="宋体" w:hAnsi="宋体" w:cs="宋体"/>
          <w:kern w:val="0"/>
          <w:sz w:val="24"/>
          <w:szCs w:val="24"/>
        </w:rPr>
        <w:t>G。</w:t>
      </w:r>
    </w:p>
    <w:p>
      <w:pPr>
        <w:pStyle w:val="129"/>
        <w:numPr>
          <w:ilvl w:val="0"/>
          <w:numId w:val="18"/>
        </w:numPr>
        <w:spacing w:line="360" w:lineRule="auto"/>
        <w:ind w:firstLineChars="0"/>
        <w:rPr>
          <w:rFonts w:ascii="宋体" w:hAnsi="宋体" w:cs="宋体"/>
          <w:kern w:val="0"/>
          <w:sz w:val="24"/>
          <w:szCs w:val="24"/>
        </w:rPr>
      </w:pPr>
      <w:r>
        <w:rPr>
          <w:rFonts w:hint="eastAsia" w:ascii="宋体" w:hAnsi="宋体" w:cs="宋体"/>
          <w:kern w:val="0"/>
          <w:sz w:val="24"/>
          <w:szCs w:val="24"/>
        </w:rPr>
        <w:t>集群内存大小，除了业务占的内存，还需要考虑超融合软件本身需要占据内存资源，比如10%，同时还要预留资源应对故障情况下的虚机迁移这类高可用要求，例如</w:t>
      </w:r>
      <w:r>
        <w:rPr>
          <w:rFonts w:hint="eastAsia" w:ascii="宋体" w:hAnsi="宋体" w:cs="宋体"/>
          <w:b/>
          <w:kern w:val="0"/>
          <w:sz w:val="24"/>
          <w:szCs w:val="24"/>
        </w:rPr>
        <w:t>预留</w:t>
      </w:r>
      <w:r>
        <w:rPr>
          <w:rFonts w:hint="eastAsia" w:ascii="宋体" w:hAnsi="宋体" w:cs="宋体"/>
          <w:kern w:val="0"/>
          <w:sz w:val="24"/>
          <w:szCs w:val="24"/>
        </w:rPr>
        <w:t>30%的空闲。所以</w:t>
      </w:r>
      <w:r>
        <w:rPr>
          <w:rFonts w:ascii="宋体" w:hAnsi="宋体" w:cs="宋体"/>
          <w:kern w:val="0"/>
          <w:sz w:val="24"/>
          <w:szCs w:val="24"/>
        </w:rPr>
        <w:t>，6400</w:t>
      </w:r>
      <w:r>
        <w:rPr>
          <w:rFonts w:hint="eastAsia" w:ascii="宋体" w:hAnsi="宋体" w:cs="宋体"/>
          <w:kern w:val="0"/>
          <w:sz w:val="24"/>
          <w:szCs w:val="24"/>
        </w:rPr>
        <w:t>/(</w:t>
      </w:r>
      <w:r>
        <w:rPr>
          <w:rFonts w:ascii="宋体" w:hAnsi="宋体" w:cs="宋体"/>
          <w:kern w:val="0"/>
          <w:sz w:val="24"/>
          <w:szCs w:val="24"/>
        </w:rPr>
        <w:t>1-10%-30%</w:t>
      </w:r>
      <w:r>
        <w:rPr>
          <w:rFonts w:hint="eastAsia" w:ascii="宋体" w:hAnsi="宋体" w:cs="宋体"/>
          <w:kern w:val="0"/>
          <w:sz w:val="24"/>
          <w:szCs w:val="24"/>
        </w:rPr>
        <w:t>)</w:t>
      </w:r>
      <w:r>
        <w:rPr>
          <w:rFonts w:ascii="宋体" w:hAnsi="宋体" w:cs="宋体"/>
          <w:kern w:val="0"/>
          <w:sz w:val="24"/>
          <w:szCs w:val="24"/>
        </w:rPr>
        <w:t>=10700G</w:t>
      </w:r>
    </w:p>
    <w:p>
      <w:pPr>
        <w:pStyle w:val="129"/>
        <w:numPr>
          <w:ilvl w:val="0"/>
          <w:numId w:val="18"/>
        </w:numPr>
        <w:spacing w:line="360" w:lineRule="auto"/>
        <w:ind w:firstLineChars="0"/>
        <w:rPr>
          <w:rFonts w:ascii="宋体" w:hAnsi="宋体" w:cs="宋体"/>
          <w:kern w:val="0"/>
          <w:sz w:val="24"/>
          <w:szCs w:val="24"/>
        </w:rPr>
      </w:pPr>
      <w:r>
        <w:rPr>
          <w:rFonts w:hint="eastAsia" w:ascii="宋体" w:hAnsi="宋体" w:cs="宋体"/>
          <w:kern w:val="0"/>
          <w:sz w:val="24"/>
          <w:szCs w:val="24"/>
        </w:rPr>
        <w:t>每台服务器的内存，假设</w:t>
      </w:r>
      <w:r>
        <w:rPr>
          <w:rFonts w:ascii="宋体" w:hAnsi="宋体" w:cs="宋体"/>
          <w:kern w:val="0"/>
          <w:sz w:val="24"/>
          <w:szCs w:val="24"/>
        </w:rPr>
        <w:t>每台服务器</w:t>
      </w:r>
      <w:r>
        <w:rPr>
          <w:rFonts w:hint="eastAsia" w:ascii="宋体" w:hAnsi="宋体" w:cs="宋体"/>
          <w:kern w:val="0"/>
          <w:sz w:val="24"/>
          <w:szCs w:val="24"/>
        </w:rPr>
        <w:t>384G内存</w:t>
      </w:r>
      <w:r>
        <w:rPr>
          <w:rFonts w:ascii="宋体" w:hAnsi="宋体" w:cs="宋体"/>
          <w:kern w:val="0"/>
          <w:sz w:val="24"/>
          <w:szCs w:val="24"/>
        </w:rPr>
        <w:t>，然后</w:t>
      </w:r>
      <w:r>
        <w:rPr>
          <w:rFonts w:hint="eastAsia" w:ascii="宋体" w:hAnsi="宋体" w:cs="宋体"/>
          <w:kern w:val="0"/>
          <w:sz w:val="24"/>
          <w:szCs w:val="24"/>
        </w:rPr>
        <w:t>根据业务的同时繁忙程度来确认</w:t>
      </w:r>
      <w:r>
        <w:rPr>
          <w:rFonts w:hint="eastAsia" w:ascii="宋体" w:hAnsi="宋体" w:cs="宋体"/>
          <w:b/>
          <w:kern w:val="0"/>
          <w:sz w:val="24"/>
          <w:szCs w:val="24"/>
        </w:rPr>
        <w:t>超分配</w:t>
      </w:r>
      <w:r>
        <w:rPr>
          <w:rFonts w:hint="eastAsia" w:ascii="宋体" w:hAnsi="宋体" w:cs="宋体"/>
          <w:kern w:val="0"/>
          <w:sz w:val="24"/>
          <w:szCs w:val="24"/>
        </w:rPr>
        <w:t>的程度，例如，同一时间，1000台虚机，只有500台再满负荷运行，那么超分配可以开到</w:t>
      </w:r>
      <w:r>
        <w:rPr>
          <w:rFonts w:ascii="宋体" w:hAnsi="宋体" w:cs="宋体"/>
          <w:kern w:val="0"/>
          <w:sz w:val="24"/>
          <w:szCs w:val="24"/>
        </w:rPr>
        <w:t>1</w:t>
      </w:r>
      <w:r>
        <w:rPr>
          <w:rFonts w:hint="eastAsia" w:ascii="宋体" w:hAnsi="宋体" w:cs="宋体"/>
          <w:kern w:val="0"/>
          <w:sz w:val="24"/>
          <w:szCs w:val="24"/>
        </w:rPr>
        <w:t>00%，最后，集群总的业务内存，除以单服务器的核数，就可以算出服务器数量。例如：</w:t>
      </w:r>
      <w:r>
        <w:rPr>
          <w:rFonts w:ascii="宋体" w:hAnsi="宋体" w:cs="宋体"/>
          <w:kern w:val="0"/>
          <w:sz w:val="24"/>
          <w:szCs w:val="24"/>
        </w:rPr>
        <w:t>10700</w:t>
      </w:r>
      <w:r>
        <w:rPr>
          <w:rFonts w:hint="eastAsia" w:ascii="宋体" w:hAnsi="宋体" w:cs="宋体"/>
          <w:kern w:val="0"/>
          <w:sz w:val="24"/>
          <w:szCs w:val="24"/>
        </w:rPr>
        <w:t>/</w:t>
      </w:r>
      <w:r>
        <w:rPr>
          <w:rFonts w:ascii="宋体" w:hAnsi="宋体" w:cs="宋体"/>
          <w:kern w:val="0"/>
          <w:sz w:val="24"/>
          <w:szCs w:val="24"/>
        </w:rPr>
        <w:t xml:space="preserve">384 </w:t>
      </w:r>
      <w:r>
        <w:rPr>
          <w:rFonts w:hint="eastAsia" w:ascii="宋体" w:hAnsi="宋体" w:cs="宋体"/>
          <w:kern w:val="0"/>
          <w:sz w:val="24"/>
          <w:szCs w:val="24"/>
        </w:rPr>
        <w:t>=</w:t>
      </w:r>
      <w:r>
        <w:rPr>
          <w:rFonts w:ascii="宋体" w:hAnsi="宋体" w:cs="宋体"/>
          <w:kern w:val="0"/>
          <w:sz w:val="24"/>
          <w:szCs w:val="24"/>
        </w:rPr>
        <w:t xml:space="preserve"> </w:t>
      </w:r>
      <w:r>
        <w:rPr>
          <w:rFonts w:hint="eastAsia" w:ascii="宋体" w:hAnsi="宋体" w:cs="宋体"/>
          <w:kern w:val="0"/>
          <w:sz w:val="24"/>
          <w:szCs w:val="24"/>
        </w:rPr>
        <w:t>28台服务器。</w:t>
      </w:r>
    </w:p>
    <w:p>
      <w:pPr>
        <w:pStyle w:val="129"/>
        <w:numPr>
          <w:ilvl w:val="0"/>
          <w:numId w:val="16"/>
        </w:numPr>
        <w:spacing w:line="360" w:lineRule="auto"/>
        <w:ind w:firstLineChars="0"/>
        <w:rPr>
          <w:rFonts w:eastAsia="黑体"/>
          <w:color w:val="800000"/>
          <w:kern w:val="0"/>
          <w:sz w:val="24"/>
          <w:szCs w:val="24"/>
        </w:rPr>
      </w:pPr>
      <w:r>
        <w:rPr>
          <w:rFonts w:hint="eastAsia" w:eastAsia="黑体"/>
          <w:color w:val="800000"/>
          <w:kern w:val="0"/>
          <w:sz w:val="24"/>
          <w:szCs w:val="24"/>
        </w:rPr>
        <w:t>存储容量的</w:t>
      </w:r>
      <w:r>
        <w:rPr>
          <w:rFonts w:eastAsia="黑体"/>
          <w:color w:val="800000"/>
          <w:kern w:val="0"/>
          <w:sz w:val="24"/>
          <w:szCs w:val="24"/>
        </w:rPr>
        <w:t>规划</w:t>
      </w:r>
    </w:p>
    <w:p>
      <w:pPr>
        <w:spacing w:line="360" w:lineRule="auto"/>
        <w:ind w:left="0" w:firstLine="420"/>
        <w:rPr>
          <w:sz w:val="24"/>
          <w:szCs w:val="24"/>
        </w:rPr>
      </w:pPr>
      <w:r>
        <w:rPr>
          <w:rFonts w:hint="eastAsia" w:ascii="宋体" w:hAnsi="宋体" w:cs="宋体"/>
          <w:kern w:val="0"/>
          <w:sz w:val="24"/>
          <w:szCs w:val="24"/>
        </w:rPr>
        <w:t>集群存储</w:t>
      </w:r>
      <w:r>
        <w:rPr>
          <w:rFonts w:ascii="宋体" w:hAnsi="宋体" w:cs="宋体"/>
          <w:kern w:val="0"/>
          <w:sz w:val="24"/>
          <w:szCs w:val="24"/>
        </w:rPr>
        <w:t>容量</w:t>
      </w:r>
      <w:r>
        <w:rPr>
          <w:rFonts w:hint="eastAsia" w:ascii="宋体" w:hAnsi="宋体" w:cs="宋体"/>
          <w:kern w:val="0"/>
          <w:sz w:val="24"/>
          <w:szCs w:val="24"/>
        </w:rPr>
        <w:t>的规划</w:t>
      </w:r>
      <w:r>
        <w:rPr>
          <w:sz w:val="24"/>
          <w:szCs w:val="24"/>
        </w:rPr>
        <w:t>需要</w:t>
      </w:r>
      <w:r>
        <w:rPr>
          <w:rFonts w:hint="eastAsia"/>
          <w:sz w:val="24"/>
          <w:szCs w:val="24"/>
        </w:rPr>
        <w:t>涉及多</w:t>
      </w:r>
      <w:r>
        <w:rPr>
          <w:sz w:val="24"/>
          <w:szCs w:val="24"/>
        </w:rPr>
        <w:t>个</w:t>
      </w:r>
      <w:r>
        <w:rPr>
          <w:rFonts w:hint="eastAsia"/>
          <w:sz w:val="24"/>
          <w:szCs w:val="24"/>
        </w:rPr>
        <w:t>层面，一般来说</w:t>
      </w:r>
      <w:r>
        <w:rPr>
          <w:sz w:val="24"/>
          <w:szCs w:val="24"/>
        </w:rPr>
        <w:t>，</w:t>
      </w:r>
      <w:r>
        <w:rPr>
          <w:rFonts w:hint="eastAsia"/>
          <w:sz w:val="24"/>
          <w:szCs w:val="24"/>
        </w:rPr>
        <w:t>从</w:t>
      </w:r>
      <w:r>
        <w:rPr>
          <w:sz w:val="24"/>
          <w:szCs w:val="24"/>
        </w:rPr>
        <w:t>上到下，</w:t>
      </w:r>
      <w:r>
        <w:rPr>
          <w:rFonts w:hint="eastAsia"/>
          <w:sz w:val="24"/>
          <w:szCs w:val="24"/>
        </w:rPr>
        <w:t>依次</w:t>
      </w:r>
      <w:r>
        <w:rPr>
          <w:sz w:val="24"/>
          <w:szCs w:val="24"/>
        </w:rPr>
        <w:t>是虚拟机</w:t>
      </w:r>
      <w:r>
        <w:rPr>
          <w:rFonts w:hint="eastAsia"/>
          <w:sz w:val="24"/>
          <w:szCs w:val="24"/>
        </w:rPr>
        <w:t>（业务</w:t>
      </w:r>
      <w:r>
        <w:rPr>
          <w:sz w:val="24"/>
          <w:szCs w:val="24"/>
        </w:rPr>
        <w:t>层面）的磁盘容量</w:t>
      </w:r>
      <w:r>
        <w:rPr>
          <w:rFonts w:hint="eastAsia"/>
          <w:sz w:val="24"/>
          <w:szCs w:val="24"/>
        </w:rPr>
        <w:t>、</w:t>
      </w:r>
      <w:r>
        <w:rPr>
          <w:sz w:val="24"/>
          <w:szCs w:val="24"/>
        </w:rPr>
        <w:t>存储池</w:t>
      </w:r>
      <w:r>
        <w:rPr>
          <w:rFonts w:hint="eastAsia"/>
          <w:sz w:val="24"/>
          <w:szCs w:val="24"/>
        </w:rPr>
        <w:t>（逻辑</w:t>
      </w:r>
      <w:r>
        <w:rPr>
          <w:sz w:val="24"/>
          <w:szCs w:val="24"/>
        </w:rPr>
        <w:t>层面）的有效容量</w:t>
      </w:r>
      <w:r>
        <w:rPr>
          <w:rFonts w:hint="eastAsia"/>
          <w:sz w:val="24"/>
          <w:szCs w:val="24"/>
        </w:rPr>
        <w:t>、</w:t>
      </w:r>
      <w:r>
        <w:rPr>
          <w:sz w:val="24"/>
          <w:szCs w:val="24"/>
        </w:rPr>
        <w:t>硬盘池</w:t>
      </w:r>
      <w:r>
        <w:rPr>
          <w:rFonts w:hint="eastAsia"/>
          <w:sz w:val="24"/>
          <w:szCs w:val="24"/>
        </w:rPr>
        <w:t>（物理层面</w:t>
      </w:r>
      <w:r>
        <w:rPr>
          <w:sz w:val="24"/>
          <w:szCs w:val="24"/>
        </w:rPr>
        <w:t>）的真实容量</w:t>
      </w:r>
      <w:r>
        <w:rPr>
          <w:rFonts w:hint="eastAsia"/>
          <w:sz w:val="24"/>
          <w:szCs w:val="24"/>
        </w:rPr>
        <w:t>以及各</w:t>
      </w:r>
      <w:r>
        <w:rPr>
          <w:sz w:val="24"/>
          <w:szCs w:val="24"/>
        </w:rPr>
        <w:t>服务器磁盘</w:t>
      </w:r>
      <w:r>
        <w:rPr>
          <w:rFonts w:hint="eastAsia"/>
          <w:sz w:val="24"/>
          <w:szCs w:val="24"/>
        </w:rPr>
        <w:t>（配置</w:t>
      </w:r>
      <w:r>
        <w:rPr>
          <w:sz w:val="24"/>
          <w:szCs w:val="24"/>
        </w:rPr>
        <w:t>层面）的</w:t>
      </w:r>
      <w:r>
        <w:rPr>
          <w:rFonts w:hint="eastAsia"/>
          <w:sz w:val="24"/>
          <w:szCs w:val="24"/>
        </w:rPr>
        <w:t>规格和</w:t>
      </w:r>
      <w:r>
        <w:rPr>
          <w:sz w:val="24"/>
          <w:szCs w:val="24"/>
        </w:rPr>
        <w:t>数量</w:t>
      </w:r>
      <w:r>
        <w:rPr>
          <w:rFonts w:hint="eastAsia"/>
          <w:sz w:val="24"/>
          <w:szCs w:val="24"/>
        </w:rPr>
        <w:t>，如下四个</w:t>
      </w:r>
      <w:r>
        <w:rPr>
          <w:sz w:val="24"/>
          <w:szCs w:val="24"/>
        </w:rPr>
        <w:t>层面是层层递进，相互关联的。</w:t>
      </w:r>
    </w:p>
    <w:p>
      <w:pPr>
        <w:spacing w:line="360" w:lineRule="auto"/>
        <w:ind w:left="0" w:firstLine="420"/>
        <w:rPr>
          <w:sz w:val="24"/>
          <w:szCs w:val="24"/>
        </w:rPr>
      </w:pPr>
      <w:r>
        <w:rPr>
          <w:rFonts w:hint="eastAsia"/>
          <w:sz w:val="24"/>
          <w:szCs w:val="24"/>
        </w:rPr>
        <w:t>算法如下</w:t>
      </w:r>
      <w:r>
        <w:rPr>
          <w:sz w:val="24"/>
          <w:szCs w:val="24"/>
        </w:rPr>
        <w:t>：</w:t>
      </w:r>
    </w:p>
    <w:p>
      <w:pPr>
        <w:spacing w:line="360" w:lineRule="auto"/>
        <w:ind w:left="0" w:firstLine="420"/>
        <w:rPr>
          <w:rFonts w:ascii="宋体" w:hAnsi="宋体" w:cs="宋体"/>
          <w:kern w:val="0"/>
          <w:sz w:val="24"/>
          <w:szCs w:val="24"/>
        </w:rPr>
      </w:pPr>
      <w:r>
        <w:rPr>
          <w:rFonts w:hint="eastAsia" w:ascii="宋体" w:hAnsi="宋体" w:cs="宋体"/>
          <w:kern w:val="0"/>
          <w:sz w:val="24"/>
          <w:szCs w:val="24"/>
        </w:rPr>
        <w:t>（虚机硬盘容量 * 虚机数量）*</w:t>
      </w:r>
      <w:r>
        <w:rPr>
          <w:rFonts w:ascii="宋体" w:hAnsi="宋体" w:cs="宋体"/>
          <w:kern w:val="0"/>
          <w:sz w:val="24"/>
          <w:szCs w:val="24"/>
        </w:rPr>
        <w:t xml:space="preserve"> </w:t>
      </w:r>
      <w:r>
        <w:rPr>
          <w:rFonts w:hint="eastAsia" w:ascii="宋体" w:hAnsi="宋体" w:cs="宋体"/>
          <w:kern w:val="0"/>
          <w:sz w:val="24"/>
          <w:szCs w:val="24"/>
        </w:rPr>
        <w:t>副本</w:t>
      </w:r>
      <w:r>
        <w:rPr>
          <w:rFonts w:ascii="宋体" w:hAnsi="宋体" w:cs="宋体"/>
          <w:kern w:val="0"/>
          <w:sz w:val="24"/>
          <w:szCs w:val="24"/>
        </w:rPr>
        <w:t>数</w:t>
      </w:r>
      <w:r>
        <w:rPr>
          <w:rFonts w:hint="eastAsia" w:ascii="宋体" w:hAnsi="宋体" w:cs="宋体"/>
          <w:kern w:val="0"/>
          <w:sz w:val="24"/>
          <w:szCs w:val="24"/>
        </w:rPr>
        <w:t>/（1 - 预留资源比例）/ 超分配（精简</w:t>
      </w:r>
      <w:r>
        <w:rPr>
          <w:rFonts w:ascii="宋体" w:hAnsi="宋体" w:cs="宋体"/>
          <w:kern w:val="0"/>
          <w:sz w:val="24"/>
          <w:szCs w:val="24"/>
        </w:rPr>
        <w:t>）</w:t>
      </w:r>
      <w:r>
        <w:rPr>
          <w:rFonts w:hint="eastAsia" w:ascii="宋体" w:hAnsi="宋体" w:cs="宋体"/>
          <w:kern w:val="0"/>
          <w:sz w:val="24"/>
          <w:szCs w:val="24"/>
        </w:rPr>
        <w:t>比例 = 节点硬盘容量配置 * 节点数量；</w:t>
      </w:r>
    </w:p>
    <w:p>
      <w:pPr>
        <w:pStyle w:val="32"/>
        <w:numPr>
          <w:ilvl w:val="0"/>
          <w:numId w:val="19"/>
        </w:numPr>
        <w:spacing w:line="360" w:lineRule="auto"/>
      </w:pPr>
      <w:r>
        <w:rPr>
          <w:rFonts w:hint="eastAsia"/>
        </w:rPr>
        <w:t>业务</w:t>
      </w:r>
      <w:r>
        <w:t>层面：虚拟机</w:t>
      </w:r>
      <w:r>
        <w:rPr>
          <w:rFonts w:hint="eastAsia"/>
        </w:rPr>
        <w:t>的</w:t>
      </w:r>
      <w:r>
        <w:t>磁盘容量，是</w:t>
      </w:r>
      <w:r>
        <w:rPr>
          <w:rFonts w:hint="eastAsia"/>
        </w:rPr>
        <w:t>真实</w:t>
      </w:r>
      <w:r>
        <w:t>业务所需要的容量</w:t>
      </w:r>
      <w:r>
        <w:rPr>
          <w:rFonts w:hint="eastAsia"/>
        </w:rPr>
        <w:t>。例如</w:t>
      </w:r>
      <w:r>
        <w:t>：</w:t>
      </w:r>
      <w:r>
        <w:rPr>
          <w:rFonts w:hint="eastAsia"/>
        </w:rPr>
        <w:t>1000台</w:t>
      </w:r>
      <w:r>
        <w:t>虚机，平均</w:t>
      </w:r>
      <w:r>
        <w:rPr>
          <w:rFonts w:hint="eastAsia"/>
        </w:rPr>
        <w:t>每台500G容量</w:t>
      </w:r>
      <w:r>
        <w:t>，</w:t>
      </w:r>
      <w:r>
        <w:rPr>
          <w:rFonts w:hint="eastAsia"/>
        </w:rPr>
        <w:t>总共就</w:t>
      </w:r>
      <w:r>
        <w:t>需要</w:t>
      </w:r>
      <w:r>
        <w:rPr>
          <w:rFonts w:hint="eastAsia"/>
        </w:rPr>
        <w:t>大约500T</w:t>
      </w:r>
    </w:p>
    <w:p>
      <w:pPr>
        <w:pStyle w:val="32"/>
        <w:numPr>
          <w:ilvl w:val="0"/>
          <w:numId w:val="19"/>
        </w:numPr>
        <w:spacing w:line="360" w:lineRule="auto"/>
      </w:pPr>
      <w:r>
        <w:rPr>
          <w:rFonts w:hint="eastAsia"/>
        </w:rPr>
        <w:t>逻辑</w:t>
      </w:r>
      <w:r>
        <w:t>层面：存储池的有效容量是所有虚拟机的总集合</w:t>
      </w:r>
      <w:r>
        <w:rPr>
          <w:rFonts w:hint="eastAsia"/>
        </w:rPr>
        <w:t>，</w:t>
      </w:r>
      <w:r>
        <w:t>再加上</w:t>
      </w:r>
      <w:r>
        <w:rPr>
          <w:rFonts w:hint="eastAsia"/>
        </w:rPr>
        <w:t>一定</w:t>
      </w:r>
      <w:r>
        <w:t>的</w:t>
      </w:r>
      <w:r>
        <w:rPr>
          <w:rFonts w:hint="eastAsia"/>
        </w:rPr>
        <w:t>冗余</w:t>
      </w:r>
      <w:r>
        <w:t>容量</w:t>
      </w:r>
      <w:r>
        <w:rPr>
          <w:rFonts w:hint="eastAsia"/>
        </w:rPr>
        <w:t>，但</w:t>
      </w:r>
      <w:r>
        <w:t>同时要也要考虑精简配置</w:t>
      </w:r>
      <w:r>
        <w:rPr>
          <w:rFonts w:hint="eastAsia"/>
        </w:rPr>
        <w:t>。（精简配置</w:t>
      </w:r>
      <w:r>
        <w:t>主要</w:t>
      </w:r>
      <w:r>
        <w:rPr>
          <w:rFonts w:hint="eastAsia"/>
        </w:rPr>
        <w:t>是</w:t>
      </w:r>
      <w:r>
        <w:t>由于虚机的存储资源是慢慢爬升的，一开始并不需要配置足量的容量，可以</w:t>
      </w:r>
      <w:r>
        <w:rPr>
          <w:rFonts w:hint="eastAsia"/>
        </w:rPr>
        <w:t>后期</w:t>
      </w:r>
      <w:r>
        <w:t>弹性扩容）</w:t>
      </w:r>
      <w:r>
        <w:rPr>
          <w:rFonts w:hint="eastAsia"/>
        </w:rPr>
        <w:t>这里举例</w:t>
      </w:r>
      <w:r>
        <w:t>，</w:t>
      </w:r>
      <w:r>
        <w:rPr>
          <w:rFonts w:hint="eastAsia"/>
        </w:rPr>
        <w:t>把</w:t>
      </w:r>
      <w:r>
        <w:t>冗余和</w:t>
      </w:r>
      <w:r>
        <w:rPr>
          <w:rFonts w:hint="eastAsia"/>
        </w:rPr>
        <w:t>精简</w:t>
      </w:r>
      <w:r>
        <w:t>的因素两项抵消，仍然</w:t>
      </w:r>
      <w:r>
        <w:rPr>
          <w:rFonts w:hint="eastAsia"/>
        </w:rPr>
        <w:t>500T。</w:t>
      </w:r>
    </w:p>
    <w:p>
      <w:pPr>
        <w:pStyle w:val="32"/>
        <w:numPr>
          <w:ilvl w:val="0"/>
          <w:numId w:val="19"/>
        </w:numPr>
        <w:spacing w:line="360" w:lineRule="auto"/>
      </w:pPr>
      <w:r>
        <w:rPr>
          <w:rFonts w:hint="eastAsia"/>
        </w:rPr>
        <w:t>物理</w:t>
      </w:r>
      <w:r>
        <w:t>层面：</w:t>
      </w:r>
      <w:r>
        <w:rPr>
          <w:rFonts w:hint="eastAsia"/>
        </w:rPr>
        <w:t>硬盘池</w:t>
      </w:r>
      <w:r>
        <w:t>的</w:t>
      </w:r>
      <w:r>
        <w:rPr>
          <w:rFonts w:hint="eastAsia"/>
        </w:rPr>
        <w:t>真实</w:t>
      </w:r>
      <w:r>
        <w:t>容量，是在存储池</w:t>
      </w:r>
      <w:r>
        <w:rPr>
          <w:rFonts w:hint="eastAsia"/>
        </w:rPr>
        <w:t>的</w:t>
      </w:r>
      <w:r>
        <w:t>有效容量上</w:t>
      </w:r>
      <w:r>
        <w:rPr>
          <w:rFonts w:hint="eastAsia"/>
        </w:rPr>
        <w:t>还要</w:t>
      </w:r>
      <w:r>
        <w:t>考虑冗余策略</w:t>
      </w:r>
      <w:r>
        <w:rPr>
          <w:rFonts w:hint="eastAsia"/>
        </w:rPr>
        <w:t>的</w:t>
      </w:r>
      <w:r>
        <w:t>消耗，例如多副本情况下，</w:t>
      </w:r>
      <w:r>
        <w:rPr>
          <w:rFonts w:hint="eastAsia"/>
        </w:rPr>
        <w:t>3副本</w:t>
      </w:r>
      <w:r>
        <w:t>的真实容量是有效容量的</w:t>
      </w:r>
      <w:r>
        <w:rPr>
          <w:rFonts w:hint="eastAsia"/>
        </w:rPr>
        <w:t>3倍</w:t>
      </w:r>
      <w:r>
        <w:t>，</w:t>
      </w:r>
      <w:r>
        <w:rPr>
          <w:rFonts w:hint="eastAsia"/>
        </w:rPr>
        <w:t>2副本</w:t>
      </w:r>
      <w:r>
        <w:t>是</w:t>
      </w:r>
      <w:r>
        <w:rPr>
          <w:rFonts w:hint="eastAsia"/>
        </w:rPr>
        <w:t>2倍</w:t>
      </w:r>
      <w:r>
        <w:t>。</w:t>
      </w:r>
      <w:r>
        <w:rPr>
          <w:rFonts w:hint="eastAsia"/>
        </w:rPr>
        <w:t>例如3副本</w:t>
      </w:r>
      <w:r>
        <w:t>，就需要</w:t>
      </w:r>
      <w:r>
        <w:rPr>
          <w:rFonts w:hint="eastAsia"/>
        </w:rPr>
        <w:t>500</w:t>
      </w:r>
      <w:r>
        <w:t>*3=1500T</w:t>
      </w:r>
    </w:p>
    <w:p>
      <w:pPr>
        <w:pStyle w:val="32"/>
        <w:numPr>
          <w:ilvl w:val="0"/>
          <w:numId w:val="19"/>
        </w:numPr>
        <w:spacing w:line="360" w:lineRule="auto"/>
      </w:pPr>
      <w:r>
        <w:rPr>
          <w:rFonts w:hint="eastAsia"/>
        </w:rPr>
        <w:t>配置</w:t>
      </w:r>
      <w:r>
        <w:t>层面：</w:t>
      </w:r>
      <w:r>
        <w:rPr>
          <w:rFonts w:hint="eastAsia"/>
        </w:rPr>
        <w:t>最后</w:t>
      </w:r>
      <w:r>
        <w:t>是在</w:t>
      </w:r>
      <w:r>
        <w:rPr>
          <w:rFonts w:hint="eastAsia"/>
        </w:rPr>
        <w:t>总</w:t>
      </w:r>
      <w:r>
        <w:t>的</w:t>
      </w:r>
      <w:r>
        <w:rPr>
          <w:rFonts w:hint="eastAsia"/>
        </w:rPr>
        <w:t>硬盘真实</w:t>
      </w:r>
      <w:r>
        <w:t>容量下，研究到底采用哪种规格的</w:t>
      </w:r>
      <w:r>
        <w:rPr>
          <w:rFonts w:hint="eastAsia"/>
        </w:rPr>
        <w:t>磁盘</w:t>
      </w:r>
      <w:r>
        <w:t>，以及磁盘的数量</w:t>
      </w:r>
      <w:r>
        <w:rPr>
          <w:rFonts w:hint="eastAsia"/>
        </w:rPr>
        <w:t>，这</w:t>
      </w:r>
      <w:r>
        <w:t>同时也会因为部署模式的不同而不同，例如是采用全闪还是缓存加速。</w:t>
      </w:r>
      <w:r>
        <w:rPr>
          <w:rFonts w:hint="eastAsia"/>
        </w:rPr>
        <w:t>例如</w:t>
      </w:r>
      <w:r>
        <w:t>采用缓存加速</w:t>
      </w:r>
      <w:r>
        <w:rPr>
          <w:rFonts w:hint="eastAsia"/>
        </w:rPr>
        <w:t>下</w:t>
      </w:r>
      <w:r>
        <w:t>，</w:t>
      </w:r>
      <w:r>
        <w:rPr>
          <w:rFonts w:hint="eastAsia"/>
        </w:rPr>
        <w:t>单</w:t>
      </w:r>
      <w:r>
        <w:t>服务器</w:t>
      </w:r>
      <w:r>
        <w:rPr>
          <w:rFonts w:hint="eastAsia"/>
        </w:rPr>
        <w:t xml:space="preserve">10块 8T </w:t>
      </w:r>
      <w:r>
        <w:t>SATA数据盘</w:t>
      </w:r>
      <w:r>
        <w:rPr>
          <w:rFonts w:hint="eastAsia"/>
        </w:rPr>
        <w:t>，</w:t>
      </w:r>
      <w:r>
        <w:t>缓存盘使用</w:t>
      </w:r>
      <w:r>
        <w:rPr>
          <w:rFonts w:hint="eastAsia"/>
        </w:rPr>
        <w:t>2块NVM</w:t>
      </w:r>
      <w:r>
        <w:t>e SSD 3.2T</w:t>
      </w:r>
      <w:r>
        <w:rPr>
          <w:rFonts w:hint="eastAsia"/>
        </w:rPr>
        <w:t>。服务器</w:t>
      </w:r>
      <w:r>
        <w:t>数量</w:t>
      </w:r>
      <w:r>
        <w:rPr>
          <w:rFonts w:hint="eastAsia"/>
        </w:rPr>
        <w:t>： 1500/（8</w:t>
      </w:r>
      <w:r>
        <w:t>*10</w:t>
      </w:r>
      <w:r>
        <w:rPr>
          <w:rFonts w:hint="eastAsia"/>
        </w:rPr>
        <w:t>）</w:t>
      </w:r>
      <w:r>
        <w:t>= 19</w:t>
      </w:r>
      <w:r>
        <w:rPr>
          <w:rFonts w:hint="eastAsia"/>
        </w:rPr>
        <w:t>台</w:t>
      </w:r>
    </w:p>
    <w:p>
      <w:pPr>
        <w:pStyle w:val="32"/>
        <w:spacing w:line="360" w:lineRule="auto"/>
        <w:ind w:firstLine="420"/>
      </w:pPr>
      <w:r>
        <w:rPr>
          <w:rFonts w:hint="eastAsia"/>
        </w:rPr>
        <w:t>此外</w:t>
      </w:r>
      <w:r>
        <w:t>要加上</w:t>
      </w:r>
      <w:r>
        <w:rPr>
          <w:rFonts w:hint="eastAsia"/>
        </w:rPr>
        <w:t>超融合</w:t>
      </w:r>
      <w:r>
        <w:t>软件本身所需要的</w:t>
      </w:r>
      <w:r>
        <w:rPr>
          <w:rFonts w:hint="eastAsia"/>
        </w:rPr>
        <w:t>系统盘，</w:t>
      </w:r>
      <w:r>
        <w:t>通常要求</w:t>
      </w:r>
      <w:r>
        <w:rPr>
          <w:rFonts w:hint="eastAsia"/>
        </w:rPr>
        <w:t>2块SAS盘</w:t>
      </w:r>
      <w:r>
        <w:t>做</w:t>
      </w:r>
      <w:r>
        <w:rPr>
          <w:rFonts w:hint="eastAsia"/>
        </w:rPr>
        <w:t>RAID1，</w:t>
      </w:r>
      <w:r>
        <w:t>保证高可靠性。</w:t>
      </w:r>
      <w:r>
        <w:rPr>
          <w:rFonts w:hint="eastAsia"/>
        </w:rPr>
        <w:t>最后</w:t>
      </w:r>
      <w:r>
        <w:t>，需要综合考虑</w:t>
      </w:r>
      <w:r>
        <w:rPr>
          <w:rFonts w:hint="eastAsia"/>
        </w:rPr>
        <w:t>CPU、</w:t>
      </w:r>
      <w:r>
        <w:t>内存、硬盘的配置，达到</w:t>
      </w:r>
      <w:r>
        <w:rPr>
          <w:rFonts w:hint="eastAsia"/>
        </w:rPr>
        <w:t>最优</w:t>
      </w:r>
      <w:r>
        <w:t>。</w:t>
      </w:r>
      <w:r>
        <w:rPr>
          <w:rFonts w:hint="eastAsia"/>
        </w:rPr>
        <w:t>方法</w:t>
      </w:r>
      <w:r>
        <w:t>可以是先</w:t>
      </w:r>
      <w:r>
        <w:rPr>
          <w:rFonts w:hint="eastAsia"/>
        </w:rPr>
        <w:t>按</w:t>
      </w:r>
      <w:r>
        <w:t>每项</w:t>
      </w:r>
      <w:r>
        <w:rPr>
          <w:rFonts w:hint="eastAsia"/>
        </w:rPr>
        <w:t>资源</w:t>
      </w:r>
      <w:r>
        <w:t>算出服务器数量，然后取最大数，确定数量后，对</w:t>
      </w:r>
      <w:r>
        <w:rPr>
          <w:rFonts w:hint="eastAsia"/>
        </w:rPr>
        <w:t>其中</w:t>
      </w:r>
      <w:r>
        <w:t>另外两项进行裁剪。比如</w:t>
      </w:r>
      <w:r>
        <w:rPr>
          <w:rFonts w:hint="eastAsia"/>
        </w:rPr>
        <w:t>，</w:t>
      </w:r>
      <w:r>
        <w:t>按</w:t>
      </w:r>
      <w:r>
        <w:rPr>
          <w:rFonts w:hint="eastAsia"/>
        </w:rPr>
        <w:t>CPU计算</w:t>
      </w:r>
      <w:r>
        <w:t>是28</w:t>
      </w:r>
      <w:r>
        <w:rPr>
          <w:rFonts w:hint="eastAsia"/>
        </w:rPr>
        <w:t>台</w:t>
      </w:r>
      <w:r>
        <w:t>，内存是</w:t>
      </w:r>
      <w:r>
        <w:rPr>
          <w:rFonts w:hint="eastAsia"/>
        </w:rPr>
        <w:t>28台</w:t>
      </w:r>
      <w:r>
        <w:t>，硬盘是19</w:t>
      </w:r>
      <w:r>
        <w:rPr>
          <w:rFonts w:hint="eastAsia"/>
        </w:rPr>
        <w:t>台</w:t>
      </w:r>
      <w:r>
        <w:t>，</w:t>
      </w:r>
      <w:r>
        <w:rPr>
          <w:rFonts w:hint="eastAsia"/>
        </w:rPr>
        <w:t>先定</w:t>
      </w:r>
      <w:r>
        <w:t>28</w:t>
      </w:r>
      <w:r>
        <w:rPr>
          <w:rFonts w:hint="eastAsia"/>
        </w:rPr>
        <w:t>台</w:t>
      </w:r>
      <w:r>
        <w:t>，然后</w:t>
      </w:r>
      <w:r>
        <w:rPr>
          <w:rFonts w:hint="eastAsia"/>
        </w:rPr>
        <w:t>对单台</w:t>
      </w:r>
      <w:r>
        <w:t>服务器</w:t>
      </w:r>
      <w:r>
        <w:rPr>
          <w:rFonts w:hint="eastAsia"/>
        </w:rPr>
        <w:t>的</w:t>
      </w:r>
      <w:r>
        <w:t>硬盘进行削减</w:t>
      </w:r>
      <w:r>
        <w:rPr>
          <w:rFonts w:hint="eastAsia"/>
        </w:rPr>
        <w:t>。</w:t>
      </w:r>
    </w:p>
    <w:p>
      <w:pPr>
        <w:pStyle w:val="5"/>
        <w:spacing w:line="360" w:lineRule="auto"/>
        <w:rPr>
          <w:sz w:val="24"/>
          <w:szCs w:val="24"/>
        </w:rPr>
      </w:pPr>
      <w:bookmarkStart w:id="29" w:name="_Toc54343072"/>
      <w:r>
        <w:rPr>
          <w:rFonts w:hint="eastAsia"/>
          <w:sz w:val="24"/>
          <w:szCs w:val="24"/>
        </w:rPr>
        <w:t>可靠性设计</w:t>
      </w:r>
      <w:bookmarkEnd w:id="29"/>
    </w:p>
    <w:p>
      <w:pPr>
        <w:pStyle w:val="6"/>
        <w:spacing w:line="360" w:lineRule="auto"/>
        <w:rPr>
          <w:szCs w:val="24"/>
        </w:rPr>
      </w:pPr>
      <w:bookmarkStart w:id="30" w:name="_Toc54343073"/>
      <w:r>
        <w:rPr>
          <w:rFonts w:hint="eastAsia"/>
          <w:szCs w:val="24"/>
        </w:rPr>
        <w:t>集群</w:t>
      </w:r>
      <w:r>
        <w:rPr>
          <w:szCs w:val="24"/>
        </w:rPr>
        <w:t>可靠性</w:t>
      </w:r>
      <w:bookmarkEnd w:id="30"/>
    </w:p>
    <w:p>
      <w:pPr>
        <w:spacing w:line="360" w:lineRule="auto"/>
        <w:ind w:left="0" w:firstLine="420"/>
        <w:rPr>
          <w:sz w:val="24"/>
          <w:szCs w:val="24"/>
        </w:rPr>
      </w:pPr>
      <w:r>
        <w:rPr>
          <w:rFonts w:hint="eastAsia"/>
          <w:sz w:val="24"/>
          <w:szCs w:val="24"/>
        </w:rPr>
        <w:t>超融合管理软件的HA特性，可以将一组主机合并为一个具有共享存储资源池的集群，超融合管理软件中的HA模块监控集群下所有的虚拟化主机，一旦某台主机发生故障，HA会立即响应，并在集群内另一台正常工作的主机上重启受影响的虚拟机。通过集群HA可以：</w:t>
      </w:r>
    </w:p>
    <w:p>
      <w:pPr>
        <w:pStyle w:val="70"/>
        <w:spacing w:after="80" w:line="360" w:lineRule="auto"/>
        <w:jc w:val="both"/>
        <w:rPr>
          <w:sz w:val="24"/>
          <w:szCs w:val="24"/>
          <w:lang w:eastAsia="zh-CN"/>
        </w:rPr>
      </w:pPr>
      <w:r>
        <w:rPr>
          <w:rFonts w:hint="eastAsia"/>
          <w:sz w:val="24"/>
          <w:szCs w:val="24"/>
          <w:lang w:eastAsia="zh-CN"/>
        </w:rPr>
        <w:t>自动监测集群中的主机及虚拟机故障；</w:t>
      </w:r>
    </w:p>
    <w:p>
      <w:pPr>
        <w:pStyle w:val="70"/>
        <w:spacing w:after="80" w:line="360" w:lineRule="auto"/>
        <w:jc w:val="both"/>
        <w:rPr>
          <w:sz w:val="24"/>
          <w:szCs w:val="24"/>
          <w:lang w:eastAsia="zh-CN"/>
        </w:rPr>
      </w:pPr>
      <w:r>
        <w:rPr>
          <w:rFonts w:hint="eastAsia"/>
          <w:sz w:val="24"/>
          <w:szCs w:val="24"/>
          <w:lang w:eastAsia="zh-CN"/>
        </w:rPr>
        <w:t>虚拟机在发生故障的情况下能够自动重新启动；</w:t>
      </w:r>
    </w:p>
    <w:p>
      <w:pPr>
        <w:pStyle w:val="70"/>
        <w:spacing w:after="80" w:line="360" w:lineRule="auto"/>
        <w:jc w:val="both"/>
        <w:rPr>
          <w:sz w:val="24"/>
          <w:szCs w:val="24"/>
          <w:lang w:eastAsia="zh-CN"/>
        </w:rPr>
      </w:pPr>
      <w:r>
        <w:rPr>
          <w:rFonts w:hint="eastAsia"/>
          <w:sz w:val="24"/>
          <w:szCs w:val="24"/>
          <w:lang w:eastAsia="zh-CN"/>
        </w:rPr>
        <w:t>虚拟机在启动的过程中能够智能的选择物理服务器资源。</w:t>
      </w:r>
    </w:p>
    <w:p>
      <w:pPr>
        <w:pStyle w:val="51"/>
        <w:numPr>
          <w:ilvl w:val="0"/>
          <w:numId w:val="0"/>
        </w:numPr>
        <w:ind w:left="624"/>
        <w:rPr>
          <w:sz w:val="24"/>
          <w:szCs w:val="24"/>
        </w:rPr>
      </w:pPr>
      <w:r>
        <w:rPr>
          <w:sz w:val="24"/>
          <w:szCs w:val="24"/>
        </w:rPr>
        <w:object>
          <v:shape id="_x0000_i1025" o:spt="75" type="#_x0000_t75" style="height:252.5pt;width:446pt;" o:ole="t" filled="f" o:preferrelative="t" stroked="f" coordsize="21600,21600">
            <v:path/>
            <v:fill on="f" focussize="0,0"/>
            <v:stroke on="f" joinstyle="miter"/>
            <v:imagedata r:id="rId16" o:title=""/>
            <o:lock v:ext="edit" aspectratio="t"/>
            <w10:wrap type="none"/>
            <w10:anchorlock/>
          </v:shape>
          <o:OLEObject Type="Embed" ProgID="PowerPoint.Slide.12" ShapeID="_x0000_i1025" DrawAspect="Content" ObjectID="_1468075725" r:id="rId15">
            <o:LockedField>false</o:LockedField>
          </o:OLEObject>
        </w:object>
      </w:r>
    </w:p>
    <w:p>
      <w:pPr>
        <w:pStyle w:val="51"/>
        <w:jc w:val="center"/>
        <w:rPr>
          <w:sz w:val="24"/>
          <w:szCs w:val="24"/>
        </w:rPr>
      </w:pPr>
      <w:bookmarkStart w:id="31" w:name="_Toc51687082"/>
      <w:bookmarkStart w:id="32" w:name="_Toc52291235"/>
      <w:r>
        <w:rPr>
          <w:rFonts w:hint="eastAsia"/>
          <w:sz w:val="24"/>
          <w:szCs w:val="24"/>
        </w:rPr>
        <w:t>物理主机故障情况下的集群HA工作机制</w:t>
      </w:r>
      <w:bookmarkEnd w:id="31"/>
      <w:bookmarkEnd w:id="32"/>
    </w:p>
    <w:p>
      <w:pPr>
        <w:pStyle w:val="6"/>
        <w:rPr>
          <w:szCs w:val="24"/>
        </w:rPr>
      </w:pPr>
      <w:bookmarkStart w:id="33" w:name="_Toc54343074"/>
      <w:r>
        <w:rPr>
          <w:rFonts w:hint="eastAsia"/>
          <w:szCs w:val="24"/>
        </w:rPr>
        <w:t>业务连续</w:t>
      </w:r>
      <w:r>
        <w:rPr>
          <w:szCs w:val="24"/>
        </w:rPr>
        <w:t>性</w:t>
      </w:r>
      <w:bookmarkEnd w:id="33"/>
    </w:p>
    <w:p>
      <w:pPr>
        <w:pStyle w:val="129"/>
        <w:numPr>
          <w:ilvl w:val="0"/>
          <w:numId w:val="20"/>
        </w:numPr>
        <w:ind w:firstLineChars="0"/>
        <w:rPr>
          <w:rFonts w:ascii="黑体" w:hAnsi="黑体" w:eastAsia="黑体"/>
          <w:color w:val="800000"/>
          <w:sz w:val="24"/>
          <w:szCs w:val="24"/>
        </w:rPr>
      </w:pPr>
      <w:r>
        <w:rPr>
          <w:rFonts w:hint="eastAsia" w:ascii="黑体" w:hAnsi="黑体" w:eastAsia="黑体"/>
          <w:color w:val="800000"/>
          <w:sz w:val="24"/>
          <w:szCs w:val="24"/>
        </w:rPr>
        <w:t>操作系统HA</w:t>
      </w:r>
    </w:p>
    <w:p>
      <w:pPr>
        <w:spacing w:line="360" w:lineRule="auto"/>
        <w:ind w:left="0" w:firstLine="420"/>
        <w:rPr>
          <w:sz w:val="24"/>
          <w:szCs w:val="24"/>
        </w:rPr>
      </w:pPr>
      <w:r>
        <w:rPr>
          <w:rFonts w:hint="eastAsia"/>
          <w:sz w:val="24"/>
          <w:szCs w:val="24"/>
        </w:rPr>
        <w:t>蓝屏又称之为蓝屏死机（Blue Screen of Death，BSoD），是微软Windows操作系统无法从一个系统错误中恢复时，为保护计算机数据文件不被破坏而强制显示的屏幕图像。从专业的角度来讲，蓝屏被定义为“当微软Windows操作系统由于出现灾难性错误或者内部条件阻止系统继续运行而显示的蓝色屏幕”。Linux类型操作系统没有蓝屏的概念，与之对应的称之为内核崩溃（Kernel Panic），此时，可能会在终端输出内核栈，如果Linux操作系统开启了Core Dump选项，则会产生Core文件。</w:t>
      </w:r>
    </w:p>
    <w:p>
      <w:pPr>
        <w:spacing w:line="360" w:lineRule="auto"/>
        <w:ind w:left="0" w:firstLine="420"/>
        <w:rPr>
          <w:sz w:val="24"/>
          <w:szCs w:val="24"/>
        </w:rPr>
      </w:pPr>
      <w:r>
        <w:rPr>
          <w:rFonts w:hint="eastAsia"/>
          <w:sz w:val="24"/>
          <w:szCs w:val="24"/>
        </w:rPr>
        <w:t>超融合集群</w:t>
      </w:r>
      <w:r>
        <w:rPr>
          <w:sz w:val="24"/>
          <w:szCs w:val="24"/>
        </w:rPr>
        <w:t>节点</w:t>
      </w:r>
      <w:r>
        <w:rPr>
          <w:rFonts w:hint="eastAsia"/>
          <w:sz w:val="24"/>
          <w:szCs w:val="24"/>
        </w:rPr>
        <w:t>虚拟化内核系统支持虚拟机蓝屏（Windows）和崩溃（Linux）的故障检测及HA处理，在虚拟机操作系统上必须安装驱动工具，该工具的目的是通过虚拟串口通道保持与超融合集群节点虚拟化内核系统的实时通信，判定虚拟机的存活状态，如果在3个时间周期（一个周期为30秒）内没有接收到操作系统驱动工具的应答，则通过探测虚拟机磁盘I/O读写来进一步判定虚拟机的存活状态，如果在6个时间周期（一个周期为30秒）内没有探测到虚拟机磁盘I/O读写活动，则判定虚拟机操作系统蓝屏。</w:t>
      </w:r>
    </w:p>
    <w:p>
      <w:pPr>
        <w:spacing w:line="360" w:lineRule="auto"/>
        <w:ind w:left="0" w:firstLine="420"/>
        <w:rPr>
          <w:sz w:val="24"/>
          <w:szCs w:val="24"/>
        </w:rPr>
      </w:pPr>
      <w:r>
        <w:rPr>
          <w:rFonts w:hint="eastAsia"/>
          <w:sz w:val="24"/>
          <w:szCs w:val="24"/>
        </w:rPr>
        <w:t>当确定虚拟机出现蓝屏之后，有三种HA处理方式，可由系统管理员在超融合管理软件上配置：</w:t>
      </w:r>
    </w:p>
    <w:p>
      <w:pPr>
        <w:pStyle w:val="70"/>
        <w:spacing w:after="80" w:line="360" w:lineRule="auto"/>
        <w:jc w:val="both"/>
        <w:rPr>
          <w:sz w:val="24"/>
          <w:szCs w:val="24"/>
          <w:lang w:eastAsia="zh-CN"/>
        </w:rPr>
      </w:pPr>
      <w:r>
        <w:rPr>
          <w:rFonts w:hint="eastAsia"/>
          <w:sz w:val="24"/>
          <w:szCs w:val="24"/>
          <w:lang w:eastAsia="zh-CN"/>
        </w:rPr>
        <w:t>不处理：即使检测到虚拟机蓝屏故障，也不会做任何处理（默认配置）。</w:t>
      </w:r>
    </w:p>
    <w:p>
      <w:pPr>
        <w:pStyle w:val="70"/>
        <w:spacing w:after="80" w:line="360" w:lineRule="auto"/>
        <w:jc w:val="both"/>
        <w:rPr>
          <w:sz w:val="24"/>
          <w:szCs w:val="24"/>
          <w:lang w:eastAsia="zh-CN"/>
        </w:rPr>
      </w:pPr>
      <w:r>
        <w:rPr>
          <w:rFonts w:hint="eastAsia"/>
          <w:sz w:val="24"/>
          <w:szCs w:val="24"/>
          <w:lang w:eastAsia="zh-CN"/>
        </w:rPr>
        <w:t>故障重启：将蓝屏后的虚拟机在本地物理主机上重新启动。</w:t>
      </w:r>
    </w:p>
    <w:p>
      <w:pPr>
        <w:pStyle w:val="70"/>
        <w:spacing w:after="80" w:line="360" w:lineRule="auto"/>
        <w:jc w:val="both"/>
        <w:rPr>
          <w:sz w:val="24"/>
          <w:szCs w:val="24"/>
          <w:lang w:eastAsia="zh-CN"/>
        </w:rPr>
      </w:pPr>
      <w:r>
        <w:rPr>
          <w:rFonts w:hint="eastAsia"/>
          <w:sz w:val="24"/>
          <w:szCs w:val="24"/>
          <w:lang w:eastAsia="zh-CN"/>
        </w:rPr>
        <w:t>故障迁移：将蓝屏后的虚拟机迁移到集群内其它正常工作的物理主机上。</w:t>
      </w:r>
    </w:p>
    <w:p>
      <w:pPr>
        <w:pStyle w:val="51"/>
        <w:numPr>
          <w:ilvl w:val="0"/>
          <w:numId w:val="0"/>
        </w:numPr>
        <w:ind w:left="624"/>
        <w:jc w:val="center"/>
        <w:rPr>
          <w:sz w:val="24"/>
          <w:szCs w:val="24"/>
        </w:rPr>
      </w:pPr>
      <w:r>
        <w:rPr>
          <w:sz w:val="24"/>
          <w:szCs w:val="24"/>
        </w:rPr>
        <w:object>
          <v:shape id="_x0000_i1026" o:spt="75" type="#_x0000_t75" style="height:267pt;width:316.5pt;" o:ole="t" filled="f" o:preferrelative="t" stroked="f" coordsize="21600,21600">
            <v:path/>
            <v:fill on="f" focussize="0,0"/>
            <v:stroke on="f" joinstyle="miter"/>
            <v:imagedata r:id="rId18" o:title=""/>
            <o:lock v:ext="edit" aspectratio="t"/>
            <w10:wrap type="none"/>
            <w10:anchorlock/>
          </v:shape>
          <o:OLEObject Type="Embed" ProgID="PowerPoint.Slide.12" ShapeID="_x0000_i1026" DrawAspect="Content" ObjectID="_1468075726" r:id="rId17">
            <o:LockedField>false</o:LockedField>
          </o:OLEObject>
        </w:object>
      </w:r>
    </w:p>
    <w:p>
      <w:pPr>
        <w:pStyle w:val="51"/>
        <w:jc w:val="center"/>
        <w:rPr>
          <w:sz w:val="24"/>
          <w:szCs w:val="24"/>
        </w:rPr>
      </w:pPr>
      <w:bookmarkStart w:id="34" w:name="_Toc52291236"/>
      <w:bookmarkStart w:id="35" w:name="_Toc51687083"/>
      <w:r>
        <w:rPr>
          <w:rFonts w:hint="eastAsia"/>
          <w:sz w:val="24"/>
          <w:szCs w:val="24"/>
        </w:rPr>
        <w:t>蓝屏HA服务检测机制</w:t>
      </w:r>
      <w:bookmarkEnd w:id="34"/>
      <w:bookmarkEnd w:id="35"/>
    </w:p>
    <w:p>
      <w:pPr>
        <w:pStyle w:val="129"/>
        <w:numPr>
          <w:ilvl w:val="0"/>
          <w:numId w:val="20"/>
        </w:numPr>
        <w:ind w:firstLineChars="0"/>
        <w:rPr>
          <w:rFonts w:ascii="黑体" w:hAnsi="黑体" w:eastAsia="黑体"/>
          <w:color w:val="800000"/>
          <w:sz w:val="24"/>
          <w:szCs w:val="24"/>
        </w:rPr>
      </w:pPr>
      <w:r>
        <w:rPr>
          <w:rFonts w:hint="eastAsia" w:ascii="黑体" w:hAnsi="黑体" w:eastAsia="黑体"/>
          <w:color w:val="800000"/>
          <w:sz w:val="24"/>
          <w:szCs w:val="24"/>
        </w:rPr>
        <w:t>应用HA</w:t>
      </w:r>
    </w:p>
    <w:p>
      <w:pPr>
        <w:ind w:left="0" w:firstLine="420"/>
        <w:rPr>
          <w:sz w:val="24"/>
          <w:szCs w:val="24"/>
        </w:rPr>
      </w:pPr>
      <w:r>
        <w:rPr>
          <w:rFonts w:hint="eastAsia"/>
          <w:sz w:val="24"/>
          <w:szCs w:val="24"/>
        </w:rPr>
        <w:t>应用HA是指运行于虚拟机操作系统内的业务系统的高可用性，当业务系统由于自身原因导致无法对外正常提供服务时，可以借助应用HA功能，以最短的时间自动恢复业务。</w:t>
      </w:r>
    </w:p>
    <w:p>
      <w:pPr>
        <w:ind w:left="0" w:firstLine="420"/>
        <w:rPr>
          <w:sz w:val="24"/>
          <w:szCs w:val="24"/>
        </w:rPr>
      </w:pPr>
      <w:r>
        <w:rPr>
          <w:rFonts w:hint="eastAsia"/>
          <w:sz w:val="24"/>
          <w:szCs w:val="24"/>
        </w:rPr>
        <w:t>企业级业务系统一般都以进程服务的方式驻留在操作系统内，超融合管理软件利用虚拟机</w:t>
      </w:r>
      <w:r>
        <w:rPr>
          <w:sz w:val="24"/>
          <w:szCs w:val="24"/>
        </w:rPr>
        <w:t>驱动</w:t>
      </w:r>
      <w:r>
        <w:rPr>
          <w:rFonts w:hint="eastAsia"/>
          <w:sz w:val="24"/>
          <w:szCs w:val="24"/>
        </w:rPr>
        <w:t>工具来监控业务服务进程的状态，该工具安装在虚拟机操作系统上，通过虚拟串口通道保持与超融合管理软件的实时通信，判定业务的存活状态。如果在连续3个时间周期（1个周期为30秒）内探测到被监测的服务为非运行或非活跃状态，则自动重启该服务；如果连续4个时间周期检测到应用服务故障，且重启服务失败，则根据系统管理员配置的应用HA策略，重新启动虚拟机或仅上报应用故障不可恢复的告警消息。</w:t>
      </w:r>
    </w:p>
    <w:p>
      <w:pPr>
        <w:pStyle w:val="59"/>
        <w:jc w:val="center"/>
        <w:rPr>
          <w:sz w:val="24"/>
          <w:szCs w:val="24"/>
        </w:rPr>
      </w:pPr>
      <w:r>
        <w:rPr>
          <w:rFonts w:ascii="微软雅黑" w:hAnsi="微软雅黑" w:eastAsia="微软雅黑"/>
          <w:sz w:val="24"/>
          <w:szCs w:val="24"/>
        </w:rPr>
        <w:object>
          <v:shape id="_x0000_i1027" o:spt="75" type="#_x0000_t75" style="height:158pt;width:438pt;" o:ole="t" filled="f" o:preferrelative="t" stroked="f" coordsize="21600,21600">
            <v:path/>
            <v:fill on="f" focussize="0,0"/>
            <v:stroke on="f" joinstyle="miter"/>
            <v:imagedata r:id="rId20" o:title=""/>
            <o:lock v:ext="edit" aspectratio="t"/>
            <w10:wrap type="none"/>
            <w10:anchorlock/>
          </v:shape>
          <o:OLEObject Type="Embed" ProgID="PowerPoint.Slide.12" ShapeID="_x0000_i1027" DrawAspect="Content" ObjectID="_1468075727" r:id="rId19">
            <o:LockedField>false</o:LockedField>
          </o:OLEObject>
        </w:object>
      </w:r>
    </w:p>
    <w:p>
      <w:pPr>
        <w:pStyle w:val="51"/>
        <w:jc w:val="center"/>
        <w:rPr>
          <w:sz w:val="24"/>
          <w:szCs w:val="24"/>
        </w:rPr>
      </w:pPr>
      <w:bookmarkStart w:id="36" w:name="_Toc52291237"/>
      <w:bookmarkStart w:id="37" w:name="_Toc51687084"/>
      <w:r>
        <w:rPr>
          <w:rFonts w:hint="eastAsia"/>
          <w:sz w:val="24"/>
          <w:szCs w:val="24"/>
        </w:rPr>
        <w:t>应用HA服务检测机制</w:t>
      </w:r>
      <w:bookmarkEnd w:id="36"/>
      <w:bookmarkEnd w:id="37"/>
    </w:p>
    <w:p>
      <w:pPr>
        <w:ind w:left="0" w:firstLine="420"/>
        <w:rPr>
          <w:sz w:val="24"/>
          <w:szCs w:val="24"/>
        </w:rPr>
      </w:pPr>
      <w:r>
        <w:rPr>
          <w:rFonts w:hint="eastAsia"/>
          <w:sz w:val="24"/>
          <w:szCs w:val="24"/>
        </w:rPr>
        <w:t>应用HA特性给客户带来如下明显的价值：</w:t>
      </w:r>
    </w:p>
    <w:p>
      <w:pPr>
        <w:pStyle w:val="70"/>
        <w:spacing w:after="80"/>
        <w:jc w:val="both"/>
        <w:rPr>
          <w:sz w:val="24"/>
          <w:szCs w:val="24"/>
          <w:lang w:eastAsia="zh-CN"/>
        </w:rPr>
      </w:pPr>
      <w:r>
        <w:rPr>
          <w:rFonts w:hint="eastAsia"/>
          <w:sz w:val="24"/>
          <w:szCs w:val="24"/>
          <w:lang w:eastAsia="zh-CN"/>
        </w:rPr>
        <w:t>实时显示应用程序的可用性状态；</w:t>
      </w:r>
    </w:p>
    <w:p>
      <w:pPr>
        <w:pStyle w:val="70"/>
        <w:spacing w:after="80"/>
        <w:jc w:val="both"/>
        <w:rPr>
          <w:sz w:val="24"/>
          <w:szCs w:val="24"/>
          <w:lang w:eastAsia="zh-CN"/>
        </w:rPr>
      </w:pPr>
      <w:r>
        <w:rPr>
          <w:rFonts w:hint="eastAsia"/>
          <w:sz w:val="24"/>
          <w:szCs w:val="24"/>
          <w:lang w:eastAsia="zh-CN"/>
        </w:rPr>
        <w:t>当应用程序不可用时，执行用户自定义的修复策略，包括重启服务和重启虚拟机，最小化业务宕机时间；</w:t>
      </w:r>
    </w:p>
    <w:p>
      <w:pPr>
        <w:pStyle w:val="70"/>
        <w:spacing w:after="80"/>
        <w:jc w:val="both"/>
        <w:rPr>
          <w:sz w:val="24"/>
          <w:szCs w:val="24"/>
          <w:lang w:eastAsia="zh-CN"/>
        </w:rPr>
      </w:pPr>
      <w:r>
        <w:rPr>
          <w:rFonts w:hint="eastAsia"/>
          <w:sz w:val="24"/>
          <w:szCs w:val="24"/>
          <w:lang w:eastAsia="zh-CN"/>
        </w:rPr>
        <w:t>当应用程序不可用时，触发告警通知。</w:t>
      </w:r>
    </w:p>
    <w:p>
      <w:pPr>
        <w:rPr>
          <w:sz w:val="24"/>
          <w:szCs w:val="24"/>
        </w:rPr>
      </w:pPr>
      <w:r>
        <w:rPr>
          <w:rFonts w:hint="eastAsia"/>
          <w:sz w:val="24"/>
          <w:szCs w:val="24"/>
        </w:rPr>
        <w:t>超融合管理软件兼容多种主流的应用程序，下表为进行了详细兼容性验证的应用版本，对于未在列表中的应用可能可以支持，但在项目实施之前，需要进行适当的适配与验证工作。</w:t>
      </w:r>
    </w:p>
    <w:p>
      <w:pPr>
        <w:pStyle w:val="46"/>
        <w:jc w:val="center"/>
        <w:rPr>
          <w:sz w:val="24"/>
          <w:szCs w:val="24"/>
        </w:rPr>
      </w:pPr>
      <w:r>
        <w:rPr>
          <w:rFonts w:hint="eastAsia"/>
          <w:sz w:val="24"/>
          <w:szCs w:val="24"/>
        </w:rPr>
        <w:t>超</w:t>
      </w:r>
      <w:r>
        <w:rPr>
          <w:sz w:val="24"/>
          <w:szCs w:val="24"/>
        </w:rPr>
        <w:t>融合产品</w:t>
      </w:r>
      <w:r>
        <w:rPr>
          <w:rFonts w:hint="eastAsia"/>
          <w:sz w:val="24"/>
          <w:szCs w:val="24"/>
        </w:rPr>
        <w:t>应用HA兼容性规格列表</w:t>
      </w:r>
    </w:p>
    <w:tbl>
      <w:tblPr>
        <w:tblStyle w:val="34"/>
        <w:tblW w:w="9028" w:type="dxa"/>
        <w:tblInd w:w="570" w:type="dxa"/>
        <w:tblBorders>
          <w:top w:val="single" w:color="auto" w:sz="4" w:space="0"/>
          <w:left w:val="none" w:color="auto" w:sz="0" w:space="0"/>
          <w:bottom w:val="single" w:color="auto" w:sz="4" w:space="0"/>
          <w:right w:val="none" w:color="auto" w:sz="0" w:space="0"/>
          <w:insideH w:val="single" w:color="808080" w:sz="4" w:space="0"/>
          <w:insideV w:val="single" w:color="808080" w:sz="4" w:space="0"/>
        </w:tblBorders>
        <w:tblLayout w:type="fixed"/>
        <w:tblCellMar>
          <w:top w:w="0" w:type="dxa"/>
          <w:left w:w="108" w:type="dxa"/>
          <w:bottom w:w="0" w:type="dxa"/>
          <w:right w:w="108" w:type="dxa"/>
        </w:tblCellMar>
      </w:tblPr>
      <w:tblGrid>
        <w:gridCol w:w="2772"/>
        <w:gridCol w:w="3128"/>
        <w:gridCol w:w="3128"/>
      </w:tblGrid>
      <w:tr>
        <w:tblPrEx>
          <w:tblBorders>
            <w:top w:val="single" w:color="auto" w:sz="4" w:space="0"/>
            <w:left w:val="none" w:color="auto" w:sz="0" w:space="0"/>
            <w:bottom w:val="single" w:color="auto" w:sz="4" w:space="0"/>
            <w:right w:val="none" w:color="auto" w:sz="0" w:space="0"/>
            <w:insideH w:val="single" w:color="808080" w:sz="4" w:space="0"/>
            <w:insideV w:val="single" w:color="808080" w:sz="4" w:space="0"/>
          </w:tblBorders>
          <w:tblCellMar>
            <w:top w:w="0" w:type="dxa"/>
            <w:left w:w="108" w:type="dxa"/>
            <w:bottom w:w="0" w:type="dxa"/>
            <w:right w:w="108" w:type="dxa"/>
          </w:tblCellMar>
        </w:tblPrEx>
        <w:trPr>
          <w:trHeight w:val="345" w:hRule="atLeast"/>
        </w:trPr>
        <w:tc>
          <w:tcPr>
            <w:tcW w:w="2772" w:type="dxa"/>
            <w:tcBorders>
              <w:top w:val="single" w:color="auto" w:sz="4" w:space="0"/>
              <w:left w:val="nil"/>
              <w:bottom w:val="single" w:color="808080" w:sz="4" w:space="0"/>
              <w:right w:val="single" w:color="808080" w:sz="4" w:space="0"/>
              <w:tl2br w:val="nil"/>
              <w:tr2bl w:val="nil"/>
            </w:tcBorders>
            <w:shd w:val="clear" w:color="auto" w:fill="D9D9D9"/>
            <w:vAlign w:val="center"/>
          </w:tcPr>
          <w:p>
            <w:pPr>
              <w:pStyle w:val="47"/>
              <w:widowControl w:val="0"/>
              <w:rPr>
                <w:sz w:val="24"/>
                <w:szCs w:val="24"/>
              </w:rPr>
            </w:pPr>
            <w:r>
              <w:rPr>
                <w:rFonts w:hint="eastAsia"/>
                <w:sz w:val="24"/>
                <w:szCs w:val="24"/>
              </w:rPr>
              <w:t>服务名称</w:t>
            </w:r>
          </w:p>
        </w:tc>
        <w:tc>
          <w:tcPr>
            <w:tcW w:w="3128" w:type="dxa"/>
            <w:tcBorders>
              <w:top w:val="single" w:color="auto" w:sz="4" w:space="0"/>
              <w:left w:val="single" w:color="808080" w:sz="4" w:space="0"/>
              <w:bottom w:val="single" w:color="808080" w:sz="4" w:space="0"/>
              <w:right w:val="nil"/>
              <w:tl2br w:val="nil"/>
              <w:tr2bl w:val="nil"/>
            </w:tcBorders>
            <w:shd w:val="clear" w:color="auto" w:fill="D9D9D9"/>
            <w:vAlign w:val="center"/>
          </w:tcPr>
          <w:p>
            <w:pPr>
              <w:pStyle w:val="47"/>
              <w:widowControl w:val="0"/>
              <w:rPr>
                <w:sz w:val="24"/>
                <w:szCs w:val="24"/>
              </w:rPr>
            </w:pPr>
            <w:r>
              <w:rPr>
                <w:rFonts w:hint="eastAsia"/>
                <w:sz w:val="24"/>
                <w:szCs w:val="24"/>
              </w:rPr>
              <w:t>支持的版本</w:t>
            </w:r>
          </w:p>
        </w:tc>
        <w:tc>
          <w:tcPr>
            <w:tcW w:w="3128" w:type="dxa"/>
            <w:tcBorders>
              <w:top w:val="single" w:color="auto" w:sz="4" w:space="0"/>
              <w:left w:val="single" w:color="808080" w:sz="4" w:space="0"/>
              <w:bottom w:val="single" w:color="808080" w:sz="4" w:space="0"/>
              <w:right w:val="nil"/>
              <w:tl2br w:val="nil"/>
              <w:tr2bl w:val="nil"/>
            </w:tcBorders>
            <w:shd w:val="clear" w:color="auto" w:fill="D9D9D9"/>
            <w:vAlign w:val="center"/>
          </w:tcPr>
          <w:p>
            <w:pPr>
              <w:pStyle w:val="47"/>
              <w:widowControl w:val="0"/>
              <w:rPr>
                <w:sz w:val="24"/>
                <w:szCs w:val="24"/>
              </w:rPr>
            </w:pPr>
            <w:r>
              <w:rPr>
                <w:rFonts w:hint="eastAsia"/>
                <w:sz w:val="24"/>
                <w:szCs w:val="24"/>
              </w:rPr>
              <w:t>支持的操作系统</w:t>
            </w:r>
          </w:p>
        </w:tc>
      </w:tr>
      <w:tr>
        <w:tblPrEx>
          <w:tblBorders>
            <w:top w:val="single" w:color="auto" w:sz="4" w:space="0"/>
            <w:left w:val="none" w:color="auto" w:sz="0" w:space="0"/>
            <w:bottom w:val="single" w:color="auto" w:sz="4" w:space="0"/>
            <w:right w:val="none" w:color="auto" w:sz="0" w:space="0"/>
            <w:insideH w:val="single" w:color="808080" w:sz="4" w:space="0"/>
            <w:insideV w:val="single" w:color="808080" w:sz="4" w:space="0"/>
          </w:tblBorders>
          <w:tblCellMar>
            <w:top w:w="0" w:type="dxa"/>
            <w:left w:w="108" w:type="dxa"/>
            <w:bottom w:w="0" w:type="dxa"/>
            <w:right w:w="108" w:type="dxa"/>
          </w:tblCellMar>
        </w:tblPrEx>
        <w:trPr>
          <w:trHeight w:val="340" w:hRule="atLeast"/>
        </w:trPr>
        <w:tc>
          <w:tcPr>
            <w:tcW w:w="2772" w:type="dxa"/>
            <w:vAlign w:val="center"/>
          </w:tcPr>
          <w:p>
            <w:pPr>
              <w:pStyle w:val="49"/>
              <w:rPr>
                <w:sz w:val="24"/>
                <w:szCs w:val="24"/>
              </w:rPr>
            </w:pPr>
            <w:r>
              <w:rPr>
                <w:rFonts w:hint="eastAsia"/>
                <w:sz w:val="24"/>
                <w:szCs w:val="24"/>
              </w:rPr>
              <w:t>Apache Tomcat</w:t>
            </w:r>
          </w:p>
        </w:tc>
        <w:tc>
          <w:tcPr>
            <w:tcW w:w="3128" w:type="dxa"/>
            <w:vAlign w:val="center"/>
          </w:tcPr>
          <w:p>
            <w:pPr>
              <w:pStyle w:val="49"/>
              <w:rPr>
                <w:sz w:val="24"/>
                <w:szCs w:val="24"/>
              </w:rPr>
            </w:pPr>
            <w:r>
              <w:rPr>
                <w:rFonts w:hint="eastAsia"/>
                <w:sz w:val="24"/>
                <w:szCs w:val="24"/>
              </w:rPr>
              <w:t>7.0</w:t>
            </w:r>
          </w:p>
        </w:tc>
        <w:tc>
          <w:tcPr>
            <w:tcW w:w="3128" w:type="dxa"/>
            <w:vAlign w:val="center"/>
          </w:tcPr>
          <w:p>
            <w:pPr>
              <w:pStyle w:val="49"/>
              <w:rPr>
                <w:sz w:val="24"/>
                <w:szCs w:val="24"/>
              </w:rPr>
            </w:pPr>
            <w:r>
              <w:rPr>
                <w:rFonts w:hint="eastAsia"/>
                <w:sz w:val="24"/>
                <w:szCs w:val="24"/>
              </w:rPr>
              <w:t>Windows</w:t>
            </w:r>
          </w:p>
        </w:tc>
      </w:tr>
      <w:tr>
        <w:tblPrEx>
          <w:tblBorders>
            <w:top w:val="single" w:color="auto" w:sz="4" w:space="0"/>
            <w:left w:val="none" w:color="auto" w:sz="0" w:space="0"/>
            <w:bottom w:val="single" w:color="auto" w:sz="4" w:space="0"/>
            <w:right w:val="none" w:color="auto" w:sz="0" w:space="0"/>
            <w:insideH w:val="single" w:color="808080" w:sz="4" w:space="0"/>
            <w:insideV w:val="single" w:color="808080" w:sz="4" w:space="0"/>
          </w:tblBorders>
          <w:tblCellMar>
            <w:top w:w="0" w:type="dxa"/>
            <w:left w:w="108" w:type="dxa"/>
            <w:bottom w:w="0" w:type="dxa"/>
            <w:right w:w="108" w:type="dxa"/>
          </w:tblCellMar>
        </w:tblPrEx>
        <w:trPr>
          <w:trHeight w:val="340" w:hRule="atLeast"/>
        </w:trPr>
        <w:tc>
          <w:tcPr>
            <w:tcW w:w="2772" w:type="dxa"/>
            <w:vAlign w:val="center"/>
          </w:tcPr>
          <w:p>
            <w:pPr>
              <w:pStyle w:val="49"/>
              <w:rPr>
                <w:sz w:val="24"/>
                <w:szCs w:val="24"/>
              </w:rPr>
            </w:pPr>
            <w:r>
              <w:rPr>
                <w:rFonts w:hint="eastAsia"/>
                <w:sz w:val="24"/>
                <w:szCs w:val="24"/>
              </w:rPr>
              <w:t>IIS</w:t>
            </w:r>
          </w:p>
        </w:tc>
        <w:tc>
          <w:tcPr>
            <w:tcW w:w="3128" w:type="dxa"/>
            <w:vAlign w:val="center"/>
          </w:tcPr>
          <w:p>
            <w:pPr>
              <w:pStyle w:val="49"/>
              <w:rPr>
                <w:sz w:val="24"/>
                <w:szCs w:val="24"/>
              </w:rPr>
            </w:pPr>
            <w:r>
              <w:rPr>
                <w:rFonts w:hint="eastAsia"/>
                <w:sz w:val="24"/>
                <w:szCs w:val="24"/>
              </w:rPr>
              <w:t>6.x、7.x</w:t>
            </w:r>
          </w:p>
        </w:tc>
        <w:tc>
          <w:tcPr>
            <w:tcW w:w="3128" w:type="dxa"/>
            <w:vAlign w:val="center"/>
          </w:tcPr>
          <w:p>
            <w:pPr>
              <w:pStyle w:val="49"/>
              <w:rPr>
                <w:sz w:val="24"/>
                <w:szCs w:val="24"/>
              </w:rPr>
            </w:pPr>
            <w:r>
              <w:rPr>
                <w:rFonts w:hint="eastAsia"/>
                <w:sz w:val="24"/>
                <w:szCs w:val="24"/>
              </w:rPr>
              <w:t>Windows</w:t>
            </w:r>
          </w:p>
        </w:tc>
      </w:tr>
      <w:tr>
        <w:tblPrEx>
          <w:tblBorders>
            <w:top w:val="single" w:color="auto" w:sz="4" w:space="0"/>
            <w:left w:val="none" w:color="auto" w:sz="0" w:space="0"/>
            <w:bottom w:val="single" w:color="auto" w:sz="4" w:space="0"/>
            <w:right w:val="none" w:color="auto" w:sz="0" w:space="0"/>
            <w:insideH w:val="single" w:color="808080" w:sz="4" w:space="0"/>
            <w:insideV w:val="single" w:color="808080" w:sz="4" w:space="0"/>
          </w:tblBorders>
          <w:tblCellMar>
            <w:top w:w="0" w:type="dxa"/>
            <w:left w:w="108" w:type="dxa"/>
            <w:bottom w:w="0" w:type="dxa"/>
            <w:right w:w="108" w:type="dxa"/>
          </w:tblCellMar>
        </w:tblPrEx>
        <w:trPr>
          <w:trHeight w:val="340" w:hRule="atLeast"/>
        </w:trPr>
        <w:tc>
          <w:tcPr>
            <w:tcW w:w="2772" w:type="dxa"/>
            <w:vAlign w:val="center"/>
          </w:tcPr>
          <w:p>
            <w:pPr>
              <w:pStyle w:val="49"/>
              <w:rPr>
                <w:sz w:val="24"/>
                <w:szCs w:val="24"/>
              </w:rPr>
            </w:pPr>
            <w:r>
              <w:rPr>
                <w:rFonts w:hint="eastAsia"/>
                <w:sz w:val="24"/>
                <w:szCs w:val="24"/>
              </w:rPr>
              <w:t>Microsoft SQL Server</w:t>
            </w:r>
          </w:p>
        </w:tc>
        <w:tc>
          <w:tcPr>
            <w:tcW w:w="3128" w:type="dxa"/>
            <w:vAlign w:val="center"/>
          </w:tcPr>
          <w:p>
            <w:pPr>
              <w:pStyle w:val="49"/>
              <w:rPr>
                <w:sz w:val="24"/>
                <w:szCs w:val="24"/>
              </w:rPr>
            </w:pPr>
            <w:r>
              <w:rPr>
                <w:rFonts w:hint="eastAsia"/>
                <w:sz w:val="24"/>
                <w:szCs w:val="24"/>
              </w:rPr>
              <w:t>2008</w:t>
            </w:r>
          </w:p>
        </w:tc>
        <w:tc>
          <w:tcPr>
            <w:tcW w:w="3128" w:type="dxa"/>
            <w:vAlign w:val="center"/>
          </w:tcPr>
          <w:p>
            <w:pPr>
              <w:pStyle w:val="49"/>
              <w:rPr>
                <w:sz w:val="24"/>
                <w:szCs w:val="24"/>
              </w:rPr>
            </w:pPr>
            <w:r>
              <w:rPr>
                <w:rFonts w:hint="eastAsia"/>
                <w:sz w:val="24"/>
                <w:szCs w:val="24"/>
              </w:rPr>
              <w:t>Windows</w:t>
            </w:r>
          </w:p>
        </w:tc>
      </w:tr>
      <w:tr>
        <w:tblPrEx>
          <w:tblBorders>
            <w:top w:val="single" w:color="auto" w:sz="4" w:space="0"/>
            <w:left w:val="none" w:color="auto" w:sz="0" w:space="0"/>
            <w:bottom w:val="single" w:color="auto" w:sz="4" w:space="0"/>
            <w:right w:val="none" w:color="auto" w:sz="0" w:space="0"/>
            <w:insideH w:val="single" w:color="808080" w:sz="4" w:space="0"/>
            <w:insideV w:val="single" w:color="808080" w:sz="4" w:space="0"/>
          </w:tblBorders>
          <w:tblCellMar>
            <w:top w:w="0" w:type="dxa"/>
            <w:left w:w="108" w:type="dxa"/>
            <w:bottom w:w="0" w:type="dxa"/>
            <w:right w:w="108" w:type="dxa"/>
          </w:tblCellMar>
        </w:tblPrEx>
        <w:trPr>
          <w:trHeight w:val="340" w:hRule="atLeast"/>
        </w:trPr>
        <w:tc>
          <w:tcPr>
            <w:tcW w:w="2772" w:type="dxa"/>
            <w:vAlign w:val="center"/>
          </w:tcPr>
          <w:p>
            <w:pPr>
              <w:pStyle w:val="49"/>
              <w:rPr>
                <w:sz w:val="24"/>
                <w:szCs w:val="24"/>
              </w:rPr>
            </w:pPr>
            <w:r>
              <w:rPr>
                <w:rFonts w:hint="eastAsia"/>
                <w:sz w:val="24"/>
                <w:szCs w:val="24"/>
              </w:rPr>
              <w:t>MySQL</w:t>
            </w:r>
          </w:p>
        </w:tc>
        <w:tc>
          <w:tcPr>
            <w:tcW w:w="3128" w:type="dxa"/>
            <w:vAlign w:val="center"/>
          </w:tcPr>
          <w:p>
            <w:pPr>
              <w:pStyle w:val="49"/>
              <w:rPr>
                <w:sz w:val="24"/>
                <w:szCs w:val="24"/>
              </w:rPr>
            </w:pPr>
            <w:r>
              <w:rPr>
                <w:rFonts w:hint="eastAsia"/>
                <w:sz w:val="24"/>
                <w:szCs w:val="24"/>
              </w:rPr>
              <w:t>5.6</w:t>
            </w:r>
          </w:p>
        </w:tc>
        <w:tc>
          <w:tcPr>
            <w:tcW w:w="3128" w:type="dxa"/>
            <w:vAlign w:val="center"/>
          </w:tcPr>
          <w:p>
            <w:pPr>
              <w:pStyle w:val="49"/>
              <w:rPr>
                <w:sz w:val="24"/>
                <w:szCs w:val="24"/>
              </w:rPr>
            </w:pPr>
            <w:r>
              <w:rPr>
                <w:rFonts w:hint="eastAsia"/>
                <w:sz w:val="24"/>
                <w:szCs w:val="24"/>
              </w:rPr>
              <w:t>Windows</w:t>
            </w:r>
          </w:p>
        </w:tc>
      </w:tr>
      <w:tr>
        <w:tblPrEx>
          <w:tblBorders>
            <w:top w:val="single" w:color="auto" w:sz="4" w:space="0"/>
            <w:left w:val="none" w:color="auto" w:sz="0" w:space="0"/>
            <w:bottom w:val="single" w:color="auto" w:sz="4" w:space="0"/>
            <w:right w:val="none" w:color="auto" w:sz="0" w:space="0"/>
            <w:insideH w:val="single" w:color="808080" w:sz="4" w:space="0"/>
            <w:insideV w:val="single" w:color="808080" w:sz="4" w:space="0"/>
          </w:tblBorders>
          <w:tblCellMar>
            <w:top w:w="0" w:type="dxa"/>
            <w:left w:w="108" w:type="dxa"/>
            <w:bottom w:w="0" w:type="dxa"/>
            <w:right w:w="108" w:type="dxa"/>
          </w:tblCellMar>
        </w:tblPrEx>
        <w:trPr>
          <w:trHeight w:val="340" w:hRule="atLeast"/>
        </w:trPr>
        <w:tc>
          <w:tcPr>
            <w:tcW w:w="2772" w:type="dxa"/>
            <w:vAlign w:val="center"/>
          </w:tcPr>
          <w:p>
            <w:pPr>
              <w:pStyle w:val="49"/>
              <w:rPr>
                <w:sz w:val="24"/>
                <w:szCs w:val="24"/>
              </w:rPr>
            </w:pPr>
            <w:r>
              <w:rPr>
                <w:rFonts w:hint="eastAsia"/>
                <w:sz w:val="24"/>
                <w:szCs w:val="24"/>
              </w:rPr>
              <w:t>Apache HTTP Server</w:t>
            </w:r>
          </w:p>
        </w:tc>
        <w:tc>
          <w:tcPr>
            <w:tcW w:w="3128" w:type="dxa"/>
            <w:vAlign w:val="center"/>
          </w:tcPr>
          <w:p>
            <w:pPr>
              <w:pStyle w:val="49"/>
              <w:rPr>
                <w:sz w:val="24"/>
                <w:szCs w:val="24"/>
              </w:rPr>
            </w:pPr>
            <w:r>
              <w:rPr>
                <w:rFonts w:hint="eastAsia"/>
                <w:sz w:val="24"/>
                <w:szCs w:val="24"/>
              </w:rPr>
              <w:t>2.2</w:t>
            </w:r>
          </w:p>
        </w:tc>
        <w:tc>
          <w:tcPr>
            <w:tcW w:w="3128" w:type="dxa"/>
            <w:vAlign w:val="center"/>
          </w:tcPr>
          <w:p>
            <w:pPr>
              <w:pStyle w:val="49"/>
              <w:rPr>
                <w:sz w:val="24"/>
                <w:szCs w:val="24"/>
              </w:rPr>
            </w:pPr>
            <w:r>
              <w:rPr>
                <w:rFonts w:hint="eastAsia"/>
                <w:sz w:val="24"/>
                <w:szCs w:val="24"/>
              </w:rPr>
              <w:t>Linux</w:t>
            </w:r>
          </w:p>
        </w:tc>
      </w:tr>
      <w:tr>
        <w:tblPrEx>
          <w:tblBorders>
            <w:top w:val="single" w:color="auto" w:sz="4" w:space="0"/>
            <w:left w:val="none" w:color="auto" w:sz="0" w:space="0"/>
            <w:bottom w:val="single" w:color="auto" w:sz="4" w:space="0"/>
            <w:right w:val="none" w:color="auto" w:sz="0" w:space="0"/>
            <w:insideH w:val="single" w:color="808080" w:sz="4" w:space="0"/>
            <w:insideV w:val="single" w:color="808080" w:sz="4" w:space="0"/>
          </w:tblBorders>
          <w:tblCellMar>
            <w:top w:w="0" w:type="dxa"/>
            <w:left w:w="108" w:type="dxa"/>
            <w:bottom w:w="0" w:type="dxa"/>
            <w:right w:w="108" w:type="dxa"/>
          </w:tblCellMar>
        </w:tblPrEx>
        <w:trPr>
          <w:trHeight w:val="340" w:hRule="atLeast"/>
        </w:trPr>
        <w:tc>
          <w:tcPr>
            <w:tcW w:w="2772" w:type="dxa"/>
            <w:vAlign w:val="center"/>
          </w:tcPr>
          <w:p>
            <w:pPr>
              <w:pStyle w:val="49"/>
              <w:rPr>
                <w:sz w:val="24"/>
                <w:szCs w:val="24"/>
              </w:rPr>
            </w:pPr>
            <w:r>
              <w:rPr>
                <w:rFonts w:hint="eastAsia"/>
                <w:sz w:val="24"/>
                <w:szCs w:val="24"/>
              </w:rPr>
              <w:t>SharePoint</w:t>
            </w:r>
          </w:p>
        </w:tc>
        <w:tc>
          <w:tcPr>
            <w:tcW w:w="3128" w:type="dxa"/>
            <w:vAlign w:val="center"/>
          </w:tcPr>
          <w:p>
            <w:pPr>
              <w:pStyle w:val="49"/>
              <w:rPr>
                <w:sz w:val="24"/>
                <w:szCs w:val="24"/>
              </w:rPr>
            </w:pPr>
            <w:r>
              <w:rPr>
                <w:rFonts w:hint="eastAsia"/>
                <w:sz w:val="24"/>
                <w:szCs w:val="24"/>
              </w:rPr>
              <w:t>2010</w:t>
            </w:r>
          </w:p>
        </w:tc>
        <w:tc>
          <w:tcPr>
            <w:tcW w:w="3128" w:type="dxa"/>
            <w:vAlign w:val="center"/>
          </w:tcPr>
          <w:p>
            <w:pPr>
              <w:pStyle w:val="49"/>
              <w:rPr>
                <w:sz w:val="24"/>
                <w:szCs w:val="24"/>
              </w:rPr>
            </w:pPr>
            <w:r>
              <w:rPr>
                <w:rFonts w:hint="eastAsia"/>
                <w:sz w:val="24"/>
                <w:szCs w:val="24"/>
              </w:rPr>
              <w:t>Windows</w:t>
            </w:r>
          </w:p>
        </w:tc>
      </w:tr>
    </w:tbl>
    <w:p>
      <w:pPr>
        <w:pStyle w:val="6"/>
        <w:rPr>
          <w:szCs w:val="24"/>
        </w:rPr>
      </w:pPr>
      <w:bookmarkStart w:id="38" w:name="_Toc54343075"/>
      <w:r>
        <w:rPr>
          <w:rFonts w:hint="eastAsia"/>
          <w:szCs w:val="24"/>
        </w:rPr>
        <w:t>存储</w:t>
      </w:r>
      <w:r>
        <w:rPr>
          <w:szCs w:val="24"/>
        </w:rPr>
        <w:t>可靠性</w:t>
      </w:r>
      <w:bookmarkEnd w:id="38"/>
    </w:p>
    <w:p>
      <w:pPr>
        <w:pStyle w:val="65"/>
        <w:numPr>
          <w:ilvl w:val="0"/>
          <w:numId w:val="21"/>
        </w:numPr>
        <w:spacing w:after="80" w:line="360" w:lineRule="auto"/>
        <w:jc w:val="both"/>
        <w:outlineLvl w:val="9"/>
        <w:rPr>
          <w:rFonts w:ascii="黑体" w:hAnsi="黑体" w:eastAsia="黑体"/>
          <w:color w:val="800000"/>
          <w:sz w:val="24"/>
          <w:lang w:eastAsia="zh-CN"/>
        </w:rPr>
      </w:pPr>
      <w:r>
        <w:rPr>
          <w:rFonts w:hint="eastAsia" w:ascii="黑体" w:hAnsi="黑体" w:eastAsia="黑体"/>
          <w:color w:val="800000"/>
          <w:sz w:val="24"/>
          <w:lang w:eastAsia="zh-CN"/>
        </w:rPr>
        <w:t>存储数据多副本冗余机制</w:t>
      </w:r>
    </w:p>
    <w:p>
      <w:pPr>
        <w:spacing w:line="360" w:lineRule="auto"/>
        <w:ind w:left="0" w:firstLine="420"/>
        <w:rPr>
          <w:sz w:val="24"/>
          <w:szCs w:val="24"/>
        </w:rPr>
      </w:pPr>
      <w:r>
        <w:rPr>
          <w:rFonts w:hint="eastAsia"/>
          <w:sz w:val="24"/>
          <w:szCs w:val="24"/>
        </w:rPr>
        <w:t>超融合集群节点虚拟化内核系统集成的分布式存储软件</w:t>
      </w:r>
      <w:r>
        <w:rPr>
          <w:rFonts w:hint="eastAsia" w:ascii="宋体" w:hAnsi="宋体"/>
          <w:sz w:val="24"/>
          <w:szCs w:val="24"/>
        </w:rPr>
        <w:t>采用条带化数据多副本机制保证数据可靠性，非物理硬盘镜像的冗余方式，当硬盘故障时，超融合节点内不需要使用独立的热备盘做重构，支持使用每块硬盘空余的空间来快速重构数据，</w:t>
      </w:r>
      <w:r>
        <w:rPr>
          <w:rFonts w:hint="eastAsia"/>
          <w:sz w:val="24"/>
          <w:szCs w:val="24"/>
        </w:rPr>
        <w:t>保障节点级故障情况下的数据冗余可靠性和上层业务连续性。</w:t>
      </w:r>
    </w:p>
    <w:p>
      <w:pPr>
        <w:spacing w:line="360" w:lineRule="auto"/>
        <w:ind w:left="0" w:firstLine="420"/>
        <w:rPr>
          <w:sz w:val="24"/>
          <w:szCs w:val="24"/>
        </w:rPr>
      </w:pPr>
      <w:r>
        <w:rPr>
          <w:rFonts w:hint="eastAsia"/>
          <w:sz w:val="24"/>
          <w:szCs w:val="24"/>
        </w:rPr>
        <w:t>一个文件要分布到存储上，首先需要将文件切割成大小一致的多个数据块对象，块大小为4MB，然后再将数据块对象进行逻辑组织和位置映射，从而将副本分布在多个不同的服务器上。</w:t>
      </w:r>
    </w:p>
    <w:p>
      <w:pPr>
        <w:rPr>
          <w:sz w:val="24"/>
          <w:szCs w:val="24"/>
        </w:rPr>
      </w:pPr>
      <w:r>
        <w:rPr>
          <w:sz w:val="24"/>
          <w:szCs w:val="24"/>
        </w:rPr>
        <w:object>
          <v:shape id="_x0000_i1028" o:spt="75" type="#_x0000_t75" style="height:187.5pt;width:432pt;" o:ole="t" filled="f" o:preferrelative="t" stroked="f" coordsize="21600,21600">
            <v:path/>
            <v:fill on="f" focussize="0,0"/>
            <v:stroke on="f" joinstyle="miter"/>
            <v:imagedata r:id="rId22" o:title=""/>
            <o:lock v:ext="edit" aspectratio="t"/>
            <w10:wrap type="none"/>
            <w10:anchorlock/>
          </v:shape>
          <o:OLEObject Type="Embed" ProgID="PowerPoint.Slide.12" ShapeID="_x0000_i1028" DrawAspect="Content" ObjectID="_1468075728" r:id="rId21">
            <o:LockedField>false</o:LockedField>
          </o:OLEObject>
        </w:object>
      </w:r>
    </w:p>
    <w:p>
      <w:pPr>
        <w:pStyle w:val="51"/>
        <w:jc w:val="center"/>
        <w:rPr>
          <w:sz w:val="24"/>
          <w:szCs w:val="24"/>
        </w:rPr>
      </w:pPr>
      <w:r>
        <w:rPr>
          <w:rFonts w:hint="eastAsia"/>
          <w:sz w:val="24"/>
          <w:szCs w:val="24"/>
        </w:rPr>
        <w:t>存储数据多副本冗余机制</w:t>
      </w:r>
    </w:p>
    <w:p>
      <w:pPr>
        <w:spacing w:line="360" w:lineRule="auto"/>
        <w:ind w:left="0" w:firstLine="420"/>
        <w:rPr>
          <w:sz w:val="24"/>
          <w:szCs w:val="24"/>
        </w:rPr>
      </w:pPr>
      <w:r>
        <w:rPr>
          <w:rFonts w:hint="eastAsia"/>
          <w:sz w:val="24"/>
          <w:szCs w:val="24"/>
        </w:rPr>
        <w:t>超融合集群节点虚拟化内核系统集成的分布式存储软件对每个数据块支持2~5个副本，客户可以根据数据的冗余需求和规划的存储容量空间灵活制定所需要的副本数。同一个数据块的多个副本分布到不同的物理服务器节点上，即使一个服务器节点宕机或损坏也不会影响数据的可用性和可靠性。系统会周期性的扫描系统中可用的数据块，一旦发现某个数据块的可靠性级别低于冗余策略指定的副本数，就会自动触发智能恢复。假设客户指定的数据块冗余副本数为3，系统会将虚拟机镜像文件切分成多个4MB大小的数据块，同一份数据会复制到3台（依故障域设定）不同的服务器上，如果某台服务器故障宕机或硬件损坏，由于整个集群仍旧有该虚拟机镜像文件的完整数据副本，可以确保数据的可用性，虚拟机业务不会中断，同时，由于服务器不可工作导致数据副本数减少，超融合集群节点虚拟化内核系统集成的分布式存储软件会及时发现这一事件，除了触发告警消息之外，会自动开始数据自愈，将数据恢复到其它健康的物理服务器节点上，以确保3副本的完整性。</w:t>
      </w:r>
    </w:p>
    <w:p>
      <w:pPr>
        <w:spacing w:line="360" w:lineRule="auto"/>
        <w:ind w:left="0" w:firstLine="420"/>
        <w:rPr>
          <w:rFonts w:ascii="宋体" w:hAnsi="宋体"/>
          <w:sz w:val="24"/>
          <w:szCs w:val="24"/>
        </w:rPr>
      </w:pPr>
      <w:r>
        <w:rPr>
          <w:rFonts w:hint="eastAsia"/>
          <w:sz w:val="24"/>
          <w:szCs w:val="24"/>
        </w:rPr>
        <w:t>超融合集群</w:t>
      </w:r>
      <w:r>
        <w:rPr>
          <w:sz w:val="24"/>
          <w:szCs w:val="24"/>
        </w:rPr>
        <w:t>系统应用</w:t>
      </w:r>
      <w:r>
        <w:rPr>
          <w:rFonts w:hint="eastAsia"/>
          <w:sz w:val="24"/>
          <w:szCs w:val="24"/>
        </w:rPr>
        <w:t>提供</w:t>
      </w:r>
      <w:r>
        <w:rPr>
          <w:sz w:val="24"/>
          <w:szCs w:val="24"/>
        </w:rPr>
        <w:t>更高的配置灵活性，支持</w:t>
      </w:r>
      <w:r>
        <w:rPr>
          <w:rFonts w:hint="eastAsia" w:ascii="宋体" w:hAnsi="宋体"/>
          <w:sz w:val="24"/>
          <w:szCs w:val="24"/>
        </w:rPr>
        <w:t>在超融合同一个集群内可以根据实际业务需求</w:t>
      </w:r>
      <w:r>
        <w:rPr>
          <w:rFonts w:ascii="宋体" w:hAnsi="宋体"/>
          <w:sz w:val="24"/>
          <w:szCs w:val="24"/>
        </w:rPr>
        <w:t>，</w:t>
      </w:r>
      <w:r>
        <w:rPr>
          <w:rFonts w:hint="eastAsia" w:ascii="宋体" w:hAnsi="宋体"/>
          <w:sz w:val="24"/>
          <w:szCs w:val="24"/>
        </w:rPr>
        <w:t>灵活实现部分卷两副本和部分卷三副本，优</w:t>
      </w:r>
      <w:r>
        <w:rPr>
          <w:rFonts w:ascii="宋体" w:hAnsi="宋体"/>
          <w:sz w:val="24"/>
          <w:szCs w:val="24"/>
        </w:rPr>
        <w:t>于</w:t>
      </w:r>
      <w:r>
        <w:rPr>
          <w:rFonts w:hint="eastAsia" w:ascii="宋体" w:hAnsi="宋体"/>
          <w:sz w:val="24"/>
          <w:szCs w:val="24"/>
        </w:rPr>
        <w:t>同一集群不同的卷只能做全部</w:t>
      </w:r>
      <w:r>
        <w:rPr>
          <w:rFonts w:ascii="宋体" w:hAnsi="宋体"/>
          <w:sz w:val="24"/>
          <w:szCs w:val="24"/>
        </w:rPr>
        <w:t>配置为</w:t>
      </w:r>
      <w:r>
        <w:rPr>
          <w:rFonts w:hint="eastAsia" w:ascii="宋体" w:hAnsi="宋体"/>
          <w:sz w:val="24"/>
          <w:szCs w:val="24"/>
        </w:rPr>
        <w:t>两副本或全三副本。</w:t>
      </w:r>
    </w:p>
    <w:p>
      <w:pPr>
        <w:ind w:left="0"/>
        <w:rPr>
          <w:sz w:val="24"/>
          <w:szCs w:val="24"/>
        </w:rPr>
      </w:pPr>
    </w:p>
    <w:p>
      <w:pPr>
        <w:pStyle w:val="65"/>
        <w:numPr>
          <w:ilvl w:val="0"/>
          <w:numId w:val="21"/>
        </w:numPr>
        <w:spacing w:after="80"/>
        <w:jc w:val="both"/>
        <w:outlineLvl w:val="9"/>
        <w:rPr>
          <w:rFonts w:ascii="黑体" w:hAnsi="黑体" w:eastAsia="黑体"/>
          <w:color w:val="800000"/>
          <w:sz w:val="24"/>
          <w:lang w:eastAsia="zh-CN"/>
        </w:rPr>
      </w:pPr>
      <w:r>
        <w:rPr>
          <w:rFonts w:hint="eastAsia" w:ascii="黑体" w:hAnsi="黑体" w:eastAsia="黑体"/>
          <w:color w:val="800000"/>
          <w:sz w:val="24"/>
          <w:lang w:eastAsia="zh-CN"/>
        </w:rPr>
        <w:t>数据多副本写入的强一致性</w:t>
      </w:r>
    </w:p>
    <w:p>
      <w:pPr>
        <w:spacing w:line="360" w:lineRule="auto"/>
        <w:ind w:left="0" w:firstLine="420"/>
        <w:rPr>
          <w:sz w:val="24"/>
          <w:szCs w:val="24"/>
        </w:rPr>
      </w:pPr>
      <w:r>
        <w:rPr>
          <w:rFonts w:hint="eastAsia"/>
          <w:sz w:val="24"/>
          <w:szCs w:val="24"/>
        </w:rPr>
        <w:t>超融合集群节点虚拟化内核系统集成的分布式存储软件通过副本控制协议，使得虚拟机读取分布式存储内部各个副本的数据在一定的约束条件下是相同的。分布式存储上的每个数据块都有一个主副本和一个或多个从副本，数据块读写操作采用主-从模型，虚拟机作为客户端，只向分布式存储上的主副本发起读写请求，从而保证数据的强一致性。</w:t>
      </w:r>
    </w:p>
    <w:p>
      <w:pPr>
        <w:pStyle w:val="70"/>
        <w:spacing w:after="80" w:line="360" w:lineRule="auto"/>
        <w:jc w:val="both"/>
        <w:rPr>
          <w:sz w:val="24"/>
          <w:szCs w:val="24"/>
          <w:lang w:eastAsia="zh-CN"/>
        </w:rPr>
      </w:pPr>
      <w:r>
        <w:rPr>
          <w:rFonts w:hint="eastAsia"/>
          <w:sz w:val="24"/>
          <w:szCs w:val="24"/>
          <w:lang w:eastAsia="zh-CN"/>
        </w:rPr>
        <w:t>当虚拟机发起读请求时，请求通过虚拟化内核中的底层文件系统到达分布式存储模块，分布式存储读取主副本内容直接返回。当访问并发度足够的情况下，由于读请求被分散到足够多的磁盘驱动器，可以有效消除磁盘读时的热点。</w:t>
      </w:r>
    </w:p>
    <w:p>
      <w:pPr>
        <w:pStyle w:val="70"/>
        <w:spacing w:after="80" w:line="360" w:lineRule="auto"/>
        <w:jc w:val="both"/>
        <w:rPr>
          <w:sz w:val="24"/>
          <w:szCs w:val="24"/>
          <w:lang w:eastAsia="zh-CN"/>
        </w:rPr>
      </w:pPr>
      <w:r>
        <w:rPr>
          <w:rFonts w:hint="eastAsia"/>
          <w:sz w:val="24"/>
          <w:szCs w:val="24"/>
          <w:lang w:eastAsia="zh-CN"/>
        </w:rPr>
        <w:t>当虚拟机发起写请求时，首先向主副本发起写入请求，再由主副本分别向从副本发起写入请求。当从副本完成写入操作之后，分别向主副本发送确认消息，等主副本完成写入操作之后，再向虚拟机确认数据块写入完成操作。</w:t>
      </w:r>
    </w:p>
    <w:p>
      <w:pPr>
        <w:pStyle w:val="59"/>
        <w:jc w:val="center"/>
        <w:rPr>
          <w:sz w:val="24"/>
          <w:szCs w:val="24"/>
        </w:rPr>
      </w:pPr>
      <w:r>
        <w:rPr>
          <w:rFonts w:ascii="微软雅黑" w:hAnsi="微软雅黑" w:eastAsia="微软雅黑"/>
          <w:sz w:val="24"/>
          <w:szCs w:val="24"/>
        </w:rPr>
        <w:object>
          <v:shape id="_x0000_i1029" o:spt="75" type="#_x0000_t75" style="height:201.5pt;width:425pt;" o:ole="t" filled="f" o:preferrelative="t" stroked="f" coordsize="21600,21600">
            <v:path/>
            <v:fill on="f" focussize="0,0"/>
            <v:stroke on="f" joinstyle="miter"/>
            <v:imagedata r:id="rId24" o:title=""/>
            <o:lock v:ext="edit" aspectratio="t"/>
            <w10:wrap type="none"/>
            <w10:anchorlock/>
          </v:shape>
          <o:OLEObject Type="Embed" ProgID="PowerPoint.Slide.12" ShapeID="_x0000_i1029" DrawAspect="Content" ObjectID="_1468075729" r:id="rId23">
            <o:LockedField>false</o:LockedField>
          </o:OLEObject>
        </w:object>
      </w:r>
    </w:p>
    <w:p>
      <w:pPr>
        <w:pStyle w:val="51"/>
        <w:jc w:val="center"/>
        <w:rPr>
          <w:sz w:val="24"/>
          <w:szCs w:val="24"/>
        </w:rPr>
      </w:pPr>
      <w:r>
        <w:rPr>
          <w:rFonts w:hint="eastAsia"/>
          <w:sz w:val="24"/>
          <w:szCs w:val="24"/>
        </w:rPr>
        <w:t>数据多副本写入的强一致性原理</w:t>
      </w:r>
    </w:p>
    <w:p>
      <w:pPr>
        <w:pStyle w:val="65"/>
        <w:numPr>
          <w:ilvl w:val="0"/>
          <w:numId w:val="21"/>
        </w:numPr>
        <w:spacing w:after="80"/>
        <w:jc w:val="both"/>
        <w:outlineLvl w:val="9"/>
        <w:rPr>
          <w:rFonts w:ascii="黑体" w:hAnsi="黑体" w:eastAsia="黑体"/>
          <w:color w:val="800000"/>
          <w:sz w:val="24"/>
        </w:rPr>
      </w:pPr>
      <w:r>
        <w:rPr>
          <w:rFonts w:hint="eastAsia" w:ascii="黑体" w:hAnsi="黑体" w:eastAsia="黑体"/>
          <w:color w:val="800000"/>
          <w:sz w:val="24"/>
        </w:rPr>
        <w:t>存储数据纠删码（Erasure Code，EC）保护</w:t>
      </w:r>
      <w:r>
        <w:rPr>
          <w:rFonts w:ascii="黑体" w:hAnsi="黑体" w:eastAsia="黑体"/>
          <w:color w:val="800000"/>
          <w:sz w:val="24"/>
        </w:rPr>
        <w:t>机制</w:t>
      </w:r>
    </w:p>
    <w:p>
      <w:pPr>
        <w:spacing w:line="360" w:lineRule="auto"/>
        <w:ind w:left="0" w:firstLine="420"/>
        <w:rPr>
          <w:sz w:val="24"/>
          <w:szCs w:val="24"/>
        </w:rPr>
      </w:pPr>
      <w:r>
        <w:rPr>
          <w:rFonts w:hint="eastAsia"/>
          <w:sz w:val="24"/>
          <w:szCs w:val="24"/>
        </w:rPr>
        <w:t>通过数据的多副本异地存储及硬件故障后的自动自愈机制保障了节点级宕机时的数据可靠性，但是多副本机制的磁盘容量利用效率始终是一个不容忽视的问题，特别是对于海量非结构化数据和冷存储这种更关注性价比的应用场景，生产系统常用的3副本情况下，只有1/3的磁盘空间可作为实际存储容量。为了更有效地利用磁盘空间，又能最大限度地满足数据的高可靠性，超融合集群节点虚拟化内核系统集成的分布式存储软件应集成纠删码的功能。</w:t>
      </w:r>
    </w:p>
    <w:p>
      <w:pPr>
        <w:spacing w:line="360" w:lineRule="auto"/>
        <w:ind w:left="0" w:firstLine="420"/>
        <w:rPr>
          <w:sz w:val="24"/>
          <w:szCs w:val="24"/>
        </w:rPr>
      </w:pPr>
      <w:r>
        <w:rPr>
          <w:rFonts w:hint="eastAsia"/>
          <w:sz w:val="24"/>
          <w:szCs w:val="24"/>
        </w:rPr>
        <w:t>纠删码理论起源于20世纪60年代，最著名的算法是Reed-Solomon，随着时间的推移，出现了很多基于其的变化版本，例如，Fountain Codes、Pyramid Codes和Local Repairable Codes等。从数学函数的角度来阐述，纠删码提供的数据保护可以用下面的公式表示：</w:t>
      </w:r>
    </w:p>
    <w:p>
      <w:pPr>
        <w:spacing w:line="360" w:lineRule="auto"/>
        <w:ind w:left="0"/>
        <w:rPr>
          <w:sz w:val="24"/>
          <w:szCs w:val="24"/>
        </w:rPr>
      </w:pPr>
      <m:oMathPara>
        <m:oMathParaPr>
          <m:jc m:val="center"/>
        </m:oMathParaPr>
        <m:oMath>
          <m:r>
            <m:rPr>
              <m:sty m:val="p"/>
            </m:rPr>
            <w:rPr>
              <w:rFonts w:ascii="Cambria Math" w:hAnsi="Cambria Math"/>
              <w:sz w:val="24"/>
              <w:szCs w:val="24"/>
            </w:rPr>
            <m:t>N=K+M</m:t>
          </m:r>
        </m:oMath>
      </m:oMathPara>
    </w:p>
    <w:p>
      <w:pPr>
        <w:spacing w:line="360" w:lineRule="auto"/>
        <w:ind w:left="0" w:firstLine="420"/>
        <w:rPr>
          <w:sz w:val="24"/>
          <w:szCs w:val="24"/>
        </w:rPr>
      </w:pPr>
      <w:r>
        <w:rPr>
          <w:rFonts w:hint="eastAsia"/>
          <w:sz w:val="24"/>
          <w:szCs w:val="24"/>
        </w:rPr>
        <w:t>其中，N表示磁盘总数量；K表示数据盘个数，或者恢复数据需要的磁盘个数；M表示校验盘个数，或者允许出现故障的磁盘个数。</w:t>
      </w:r>
    </w:p>
    <w:p>
      <w:pPr>
        <w:spacing w:line="360" w:lineRule="auto"/>
        <w:ind w:left="0" w:firstLine="420"/>
        <w:rPr>
          <w:sz w:val="24"/>
          <w:szCs w:val="24"/>
        </w:rPr>
      </w:pPr>
      <w:r>
        <w:rPr>
          <w:rFonts w:hint="eastAsia"/>
          <w:sz w:val="24"/>
          <w:szCs w:val="24"/>
        </w:rPr>
        <w:t>例如，一个典型的Reed-Solomon方案RS(8, 5)中，8表示磁盘总数，5表示数据盘个数，则数据块在磁盘中的分布情况如下图所示：</w:t>
      </w:r>
    </w:p>
    <w:p>
      <w:pPr>
        <w:pStyle w:val="59"/>
        <w:jc w:val="center"/>
        <w:rPr>
          <w:sz w:val="24"/>
          <w:szCs w:val="24"/>
        </w:rPr>
      </w:pPr>
      <w:r>
        <w:rPr>
          <w:sz w:val="24"/>
          <w:szCs w:val="24"/>
        </w:rPr>
        <w:object>
          <v:shape id="_x0000_i1030" o:spt="75" type="#_x0000_t75" style="height:151.5pt;width:389.5pt;" o:ole="t" filled="f" o:preferrelative="t" stroked="f" coordsize="21600,21600">
            <v:path/>
            <v:fill on="f" focussize="0,0"/>
            <v:stroke on="f" joinstyle="miter"/>
            <v:imagedata r:id="rId26" o:title=""/>
            <o:lock v:ext="edit" aspectratio="t"/>
            <w10:wrap type="none"/>
            <w10:anchorlock/>
          </v:shape>
          <o:OLEObject Type="Embed" ProgID="PowerPoint.Slide.12" ShapeID="_x0000_i1030" DrawAspect="Content" ObjectID="_1468075730" r:id="rId25">
            <o:LockedField>false</o:LockedField>
          </o:OLEObject>
        </w:object>
      </w:r>
    </w:p>
    <w:p>
      <w:pPr>
        <w:pStyle w:val="51"/>
        <w:spacing w:line="360" w:lineRule="auto"/>
        <w:jc w:val="center"/>
        <w:rPr>
          <w:sz w:val="24"/>
          <w:szCs w:val="24"/>
        </w:rPr>
      </w:pPr>
      <w:bookmarkStart w:id="39" w:name="_Toc51687098"/>
      <w:bookmarkStart w:id="40" w:name="_Toc52291248"/>
      <w:r>
        <w:rPr>
          <w:rFonts w:hint="eastAsia"/>
          <w:sz w:val="24"/>
          <w:szCs w:val="24"/>
        </w:rPr>
        <w:t>典型的RS</w:t>
      </w:r>
      <w:r>
        <w:rPr>
          <w:sz w:val="24"/>
          <w:szCs w:val="24"/>
        </w:rPr>
        <w:t>(8, 5)纠删码数据分布情况</w:t>
      </w:r>
      <w:bookmarkEnd w:id="39"/>
      <w:bookmarkEnd w:id="40"/>
    </w:p>
    <w:p>
      <w:pPr>
        <w:spacing w:line="360" w:lineRule="auto"/>
        <w:ind w:left="0" w:firstLine="420"/>
        <w:rPr>
          <w:sz w:val="24"/>
          <w:szCs w:val="24"/>
        </w:rPr>
      </w:pPr>
      <w:r>
        <w:rPr>
          <w:rFonts w:hint="eastAsia"/>
          <w:sz w:val="24"/>
          <w:szCs w:val="24"/>
        </w:rPr>
        <w:t>RS(8,</w:t>
      </w:r>
      <w:r>
        <w:rPr>
          <w:sz w:val="24"/>
          <w:szCs w:val="24"/>
        </w:rPr>
        <w:t xml:space="preserve"> </w:t>
      </w:r>
      <w:r>
        <w:rPr>
          <w:rFonts w:hint="eastAsia"/>
          <w:sz w:val="24"/>
          <w:szCs w:val="24"/>
        </w:rPr>
        <w:t>5)可以容忍任意3块磁盘的故障，如果某些数据块丢失，可以通过剩下的可用数据恢复出原始的内容。</w:t>
      </w:r>
    </w:p>
    <w:p>
      <w:pPr>
        <w:pStyle w:val="59"/>
        <w:jc w:val="center"/>
        <w:rPr>
          <w:sz w:val="24"/>
          <w:szCs w:val="24"/>
        </w:rPr>
      </w:pPr>
      <w:r>
        <w:rPr>
          <w:sz w:val="24"/>
          <w:szCs w:val="24"/>
        </w:rPr>
        <w:object>
          <v:shape id="_x0000_i1031" o:spt="75" type="#_x0000_t75" style="height:158pt;width:438pt;" o:ole="t" filled="f" o:preferrelative="t" stroked="f" coordsize="21600,21600">
            <v:path/>
            <v:fill on="f" focussize="0,0"/>
            <v:stroke on="f" joinstyle="miter"/>
            <v:imagedata r:id="rId28" o:title=""/>
            <o:lock v:ext="edit" aspectratio="t"/>
            <w10:wrap type="none"/>
            <w10:anchorlock/>
          </v:shape>
          <o:OLEObject Type="Embed" ProgID="PowerPoint.Slide.12" ShapeID="_x0000_i1031" DrawAspect="Content" ObjectID="_1468075731" r:id="rId27">
            <o:LockedField>false</o:LockedField>
          </o:OLEObject>
        </w:object>
      </w:r>
    </w:p>
    <w:p>
      <w:pPr>
        <w:pStyle w:val="51"/>
        <w:jc w:val="center"/>
        <w:rPr>
          <w:sz w:val="24"/>
          <w:szCs w:val="24"/>
        </w:rPr>
      </w:pPr>
      <w:r>
        <w:rPr>
          <w:sz w:val="24"/>
          <w:szCs w:val="24"/>
        </w:rPr>
        <w:t>多副本与纠删码存储方式对比</w:t>
      </w:r>
    </w:p>
    <w:p>
      <w:pPr>
        <w:spacing w:line="360" w:lineRule="auto"/>
        <w:ind w:left="0" w:firstLine="420"/>
        <w:rPr>
          <w:sz w:val="24"/>
          <w:szCs w:val="24"/>
        </w:rPr>
      </w:pPr>
      <w:r>
        <w:rPr>
          <w:rFonts w:hint="eastAsia"/>
          <w:sz w:val="24"/>
          <w:szCs w:val="24"/>
        </w:rPr>
        <w:t>多副本和纠删码是两种应用场景不同的数据高可靠性保护机制，使用时两者选其一。多副本方式主要用于性能和可靠性都要求较高的企业生产系统；纠删码方式主要用于冷数据存储，例如备份，归档等对空间使用率较高而无性能要求的场景。</w:t>
      </w:r>
    </w:p>
    <w:p>
      <w:pPr>
        <w:spacing w:line="360" w:lineRule="auto"/>
        <w:ind w:left="0" w:firstLine="420"/>
        <w:rPr>
          <w:sz w:val="24"/>
          <w:szCs w:val="24"/>
        </w:rPr>
      </w:pPr>
      <w:r>
        <w:rPr>
          <w:rFonts w:hint="eastAsia"/>
          <w:sz w:val="24"/>
          <w:szCs w:val="24"/>
        </w:rPr>
        <w:t>与多副本技术相比，纠删码的优点在于节省磁盘空间，能够提供接近于本地RAID 5/6的有效磁盘空间，对于N= K+ M方式的纠删码方案，磁盘有效使用率为K/N，而多副本机制的有效使用率仅为1/（副本数），但是，在纠删码方案中，随机写和数据重构时产生的I/O惩罚较大，对应的集群网络流量比多副本保护模式要大，而且在数据修复时存在计算开销。</w:t>
      </w:r>
    </w:p>
    <w:p>
      <w:pPr>
        <w:pStyle w:val="4"/>
        <w:rPr>
          <w:sz w:val="24"/>
          <w:szCs w:val="24"/>
        </w:rPr>
      </w:pPr>
      <w:bookmarkStart w:id="41" w:name="_Toc54343076"/>
      <w:r>
        <w:rPr>
          <w:rFonts w:hint="eastAsia"/>
          <w:sz w:val="24"/>
          <w:szCs w:val="24"/>
        </w:rPr>
        <w:t>超融合管理平台设计</w:t>
      </w:r>
      <w:bookmarkEnd w:id="41"/>
    </w:p>
    <w:p>
      <w:pPr>
        <w:pStyle w:val="5"/>
        <w:spacing w:line="360" w:lineRule="auto"/>
        <w:rPr>
          <w:sz w:val="24"/>
          <w:szCs w:val="24"/>
        </w:rPr>
      </w:pPr>
      <w:bookmarkStart w:id="42" w:name="_Toc54343077"/>
      <w:r>
        <w:rPr>
          <w:rFonts w:hint="eastAsia"/>
          <w:sz w:val="24"/>
          <w:szCs w:val="24"/>
        </w:rPr>
        <w:t>管理平台架构可靠性</w:t>
      </w:r>
      <w:bookmarkEnd w:id="42"/>
    </w:p>
    <w:p>
      <w:pPr>
        <w:spacing w:line="360" w:lineRule="auto"/>
        <w:ind w:left="0"/>
        <w:rPr>
          <w:rFonts w:ascii="宋体" w:hAnsi="宋体" w:cstheme="minorBidi"/>
          <w:sz w:val="24"/>
          <w:szCs w:val="24"/>
        </w:rPr>
      </w:pPr>
      <w:r>
        <w:rPr>
          <w:rFonts w:hint="eastAsia" w:ascii="宋体" w:hAnsi="宋体" w:cstheme="minorBidi"/>
          <w:sz w:val="24"/>
          <w:szCs w:val="24"/>
        </w:rPr>
        <w:t>超融合管理系统提供的双机</w:t>
      </w:r>
      <w:r>
        <w:rPr>
          <w:rFonts w:ascii="宋体" w:hAnsi="宋体" w:cstheme="minorBidi"/>
          <w:sz w:val="24"/>
          <w:szCs w:val="24"/>
        </w:rPr>
        <w:t>热备</w:t>
      </w:r>
      <w:r>
        <w:rPr>
          <w:rFonts w:hint="eastAsia" w:ascii="宋体" w:hAnsi="宋体" w:cstheme="minorBidi"/>
          <w:sz w:val="24"/>
          <w:szCs w:val="24"/>
        </w:rPr>
        <w:t>高可靠性服务主要解决如下两个方面的挑战：</w:t>
      </w:r>
    </w:p>
    <w:p>
      <w:pPr>
        <w:pStyle w:val="65"/>
        <w:numPr>
          <w:ilvl w:val="0"/>
          <w:numId w:val="22"/>
        </w:numPr>
        <w:spacing w:after="80" w:line="360" w:lineRule="auto"/>
        <w:jc w:val="both"/>
        <w:outlineLvl w:val="9"/>
        <w:rPr>
          <w:rFonts w:ascii="黑体" w:hAnsi="黑体" w:eastAsia="黑体" w:cstheme="minorBidi"/>
          <w:color w:val="800000"/>
          <w:kern w:val="2"/>
          <w:sz w:val="24"/>
          <w:lang w:eastAsia="zh-CN"/>
        </w:rPr>
      </w:pPr>
      <w:r>
        <w:rPr>
          <w:rFonts w:hint="eastAsia" w:ascii="黑体" w:hAnsi="黑体" w:eastAsia="黑体" w:cstheme="minorBidi"/>
          <w:color w:val="800000"/>
          <w:kern w:val="2"/>
          <w:sz w:val="24"/>
          <w:lang w:eastAsia="zh-CN"/>
        </w:rPr>
        <w:t>业务连续性，保障业务连续运行的能力</w:t>
      </w:r>
    </w:p>
    <w:p>
      <w:pPr>
        <w:spacing w:line="360" w:lineRule="auto"/>
        <w:ind w:left="0" w:firstLine="420"/>
        <w:rPr>
          <w:rFonts w:ascii="宋体" w:hAnsi="宋体" w:cstheme="minorBidi"/>
          <w:sz w:val="24"/>
          <w:szCs w:val="24"/>
        </w:rPr>
      </w:pPr>
      <w:r>
        <w:rPr>
          <w:rFonts w:hint="eastAsia" w:ascii="宋体" w:hAnsi="宋体" w:cstheme="minorBidi"/>
          <w:sz w:val="24"/>
          <w:szCs w:val="24"/>
        </w:rPr>
        <w:t>超融合方案提供全系统冗余架构，系统中无单点故障，支持计划内的升级、扩容等活动时的业务无中断。提供故障的快速检测能力，检测到故障之后自动告警和恢复，将故障引起的停机时间降至最少。</w:t>
      </w:r>
    </w:p>
    <w:p>
      <w:pPr>
        <w:pStyle w:val="65"/>
        <w:numPr>
          <w:ilvl w:val="0"/>
          <w:numId w:val="22"/>
        </w:numPr>
        <w:spacing w:after="80" w:line="360" w:lineRule="auto"/>
        <w:jc w:val="both"/>
        <w:outlineLvl w:val="9"/>
        <w:rPr>
          <w:rFonts w:ascii="黑体" w:hAnsi="黑体" w:eastAsia="黑体" w:cstheme="minorBidi"/>
          <w:color w:val="800000"/>
          <w:kern w:val="2"/>
          <w:sz w:val="24"/>
          <w:lang w:eastAsia="zh-CN"/>
        </w:rPr>
      </w:pPr>
      <w:r>
        <w:rPr>
          <w:rFonts w:hint="eastAsia" w:ascii="黑体" w:hAnsi="黑体" w:eastAsia="黑体" w:cstheme="minorBidi"/>
          <w:color w:val="800000"/>
          <w:kern w:val="2"/>
          <w:sz w:val="24"/>
          <w:lang w:eastAsia="zh-CN"/>
        </w:rPr>
        <w:t>数据持久性，保障数据不丢失的能力</w:t>
      </w:r>
    </w:p>
    <w:p>
      <w:pPr>
        <w:spacing w:line="360" w:lineRule="auto"/>
        <w:ind w:left="0" w:firstLine="420"/>
        <w:rPr>
          <w:rFonts w:ascii="宋体" w:hAnsi="宋体" w:cstheme="minorBidi"/>
          <w:sz w:val="24"/>
          <w:szCs w:val="24"/>
        </w:rPr>
      </w:pPr>
      <w:r>
        <w:rPr>
          <w:rFonts w:hint="eastAsia" w:ascii="宋体" w:hAnsi="宋体" w:cstheme="minorBidi"/>
          <w:sz w:val="24"/>
          <w:szCs w:val="24"/>
        </w:rPr>
        <w:t>超融合管理软件支持对虚拟化管理数据和虚拟机业务数据提供多种备份能力，支持在故障情况下的快速恢复。对虚拟化环境提供管理平台数据库和配置数据的高可靠，同时保证北向REST API接口服务的高可靠性。</w:t>
      </w:r>
    </w:p>
    <w:p>
      <w:pPr>
        <w:spacing w:line="360" w:lineRule="auto"/>
        <w:ind w:left="0" w:firstLine="420"/>
        <w:rPr>
          <w:rFonts w:ascii="宋体" w:hAnsi="宋体" w:cstheme="minorBidi"/>
          <w:sz w:val="24"/>
          <w:szCs w:val="24"/>
        </w:rPr>
      </w:pPr>
      <w:r>
        <w:rPr>
          <w:rFonts w:hint="eastAsia" w:ascii="宋体" w:hAnsi="宋体" w:cstheme="minorBidi"/>
          <w:sz w:val="24"/>
          <w:szCs w:val="24"/>
        </w:rPr>
        <w:t>超融合管理节点负责对整个虚拟化环境进行配置与监控管理，采用主备冗余的方式部署。如果主备节点同时故障，相关的新增业务会受到影响，例如，新增或删除虚拟机等，但不影响已经存在并正常运行的虚拟机业务，用户可以毫无感知地使用虚拟机上的业务系统。支持图形化方式配置管理系统双机，可一键切换主备。</w:t>
      </w:r>
      <w:r>
        <w:rPr>
          <w:rFonts w:ascii="宋体" w:hAnsi="宋体" w:cstheme="minorBidi"/>
          <w:sz w:val="24"/>
          <w:szCs w:val="24"/>
        </w:rPr>
        <w:t>管理</w:t>
      </w:r>
      <w:r>
        <w:rPr>
          <w:rFonts w:hint="eastAsia" w:ascii="宋体" w:hAnsi="宋体" w:cstheme="minorBidi"/>
          <w:sz w:val="24"/>
          <w:szCs w:val="24"/>
        </w:rPr>
        <w:t>系统</w:t>
      </w:r>
      <w:r>
        <w:rPr>
          <w:rFonts w:ascii="宋体" w:hAnsi="宋体" w:cstheme="minorBidi"/>
          <w:sz w:val="24"/>
          <w:szCs w:val="24"/>
        </w:rPr>
        <w:t>部署</w:t>
      </w:r>
      <w:r>
        <w:rPr>
          <w:rFonts w:hint="eastAsia" w:ascii="宋体" w:hAnsi="宋体" w:cstheme="minorBidi"/>
          <w:sz w:val="24"/>
          <w:szCs w:val="24"/>
        </w:rPr>
        <w:t>不独占服务器，作为正常计算节点使用。</w:t>
      </w:r>
    </w:p>
    <w:p>
      <w:pPr>
        <w:pStyle w:val="51"/>
        <w:numPr>
          <w:ilvl w:val="0"/>
          <w:numId w:val="0"/>
        </w:numPr>
        <w:spacing w:line="360" w:lineRule="auto"/>
        <w:ind w:left="624"/>
        <w:rPr>
          <w:sz w:val="24"/>
          <w:szCs w:val="24"/>
        </w:rPr>
      </w:pPr>
      <w:r>
        <w:rPr>
          <w:sz w:val="24"/>
          <w:szCs w:val="24"/>
        </w:rPr>
        <w:drawing>
          <wp:inline distT="0" distB="0" distL="0" distR="0">
            <wp:extent cx="5676900" cy="3191510"/>
            <wp:effectExtent l="0" t="0" r="0" b="8890"/>
            <wp:docPr id="6" name="图片 6" descr="C:\Users\y14121\Picture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y14121\Pictures\1.pn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a:xfrm>
                      <a:off x="0" y="0"/>
                      <a:ext cx="5711616" cy="3211451"/>
                    </a:xfrm>
                    <a:prstGeom prst="rect">
                      <a:avLst/>
                    </a:prstGeom>
                    <a:noFill/>
                    <a:ln>
                      <a:noFill/>
                    </a:ln>
                  </pic:spPr>
                </pic:pic>
              </a:graphicData>
            </a:graphic>
          </wp:inline>
        </w:drawing>
      </w:r>
    </w:p>
    <w:p>
      <w:pPr>
        <w:pStyle w:val="51"/>
        <w:spacing w:line="360" w:lineRule="auto"/>
        <w:jc w:val="center"/>
        <w:rPr>
          <w:sz w:val="24"/>
          <w:szCs w:val="24"/>
        </w:rPr>
      </w:pPr>
      <w:bookmarkStart w:id="43" w:name="_Toc51687073"/>
      <w:r>
        <w:rPr>
          <w:rFonts w:hint="eastAsia"/>
          <w:sz w:val="24"/>
          <w:szCs w:val="24"/>
        </w:rPr>
        <w:t>超融合</w:t>
      </w:r>
      <w:r>
        <w:rPr>
          <w:sz w:val="24"/>
          <w:szCs w:val="24"/>
        </w:rPr>
        <w:t>管理</w:t>
      </w:r>
      <w:r>
        <w:rPr>
          <w:rFonts w:hint="eastAsia"/>
          <w:sz w:val="24"/>
          <w:szCs w:val="24"/>
        </w:rPr>
        <w:t>软件双机</w:t>
      </w:r>
      <w:r>
        <w:rPr>
          <w:sz w:val="24"/>
          <w:szCs w:val="24"/>
        </w:rPr>
        <w:t>热备</w:t>
      </w:r>
      <w:r>
        <w:rPr>
          <w:rFonts w:hint="eastAsia"/>
          <w:sz w:val="24"/>
          <w:szCs w:val="24"/>
        </w:rPr>
        <w:t>架构</w:t>
      </w:r>
      <w:bookmarkEnd w:id="43"/>
    </w:p>
    <w:p>
      <w:pPr>
        <w:spacing w:line="360" w:lineRule="auto"/>
        <w:ind w:left="0"/>
        <w:rPr>
          <w:rFonts w:ascii="宋体" w:hAnsi="宋体" w:cstheme="minorBidi"/>
          <w:sz w:val="24"/>
          <w:szCs w:val="24"/>
        </w:rPr>
      </w:pPr>
      <w:r>
        <w:rPr>
          <w:rFonts w:hint="eastAsia" w:ascii="宋体" w:hAnsi="宋体" w:cstheme="minorBidi"/>
          <w:sz w:val="24"/>
          <w:szCs w:val="24"/>
        </w:rPr>
        <w:t>超融合管理节点的冗余包括三种高可靠机制：</w:t>
      </w:r>
    </w:p>
    <w:p>
      <w:pPr>
        <w:pStyle w:val="65"/>
        <w:numPr>
          <w:ilvl w:val="0"/>
          <w:numId w:val="23"/>
        </w:numPr>
        <w:spacing w:after="80" w:line="360" w:lineRule="auto"/>
        <w:jc w:val="both"/>
        <w:outlineLvl w:val="9"/>
        <w:rPr>
          <w:rFonts w:ascii="黑体" w:hAnsi="黑体" w:eastAsia="黑体" w:cstheme="minorBidi"/>
          <w:color w:val="800000"/>
          <w:kern w:val="2"/>
          <w:sz w:val="24"/>
          <w:lang w:eastAsia="zh-CN"/>
        </w:rPr>
      </w:pPr>
      <w:r>
        <w:rPr>
          <w:rFonts w:hint="eastAsia" w:ascii="黑体" w:hAnsi="黑体" w:eastAsia="黑体" w:cstheme="minorBidi"/>
          <w:color w:val="800000"/>
          <w:kern w:val="2"/>
          <w:sz w:val="24"/>
          <w:lang w:eastAsia="zh-CN"/>
        </w:rPr>
        <w:t>管理</w:t>
      </w:r>
      <w:r>
        <w:rPr>
          <w:rFonts w:ascii="黑体" w:hAnsi="黑体" w:eastAsia="黑体" w:cstheme="minorBidi"/>
          <w:color w:val="800000"/>
          <w:kern w:val="2"/>
          <w:sz w:val="24"/>
          <w:lang w:eastAsia="zh-CN"/>
        </w:rPr>
        <w:t>节点</w:t>
      </w:r>
      <w:r>
        <w:rPr>
          <w:rFonts w:hint="eastAsia" w:ascii="黑体" w:hAnsi="黑体" w:eastAsia="黑体" w:cstheme="minorBidi"/>
          <w:color w:val="800000"/>
          <w:kern w:val="2"/>
          <w:sz w:val="24"/>
          <w:lang w:eastAsia="zh-CN"/>
        </w:rPr>
        <w:t>状态检测</w:t>
      </w:r>
    </w:p>
    <w:p>
      <w:pPr>
        <w:spacing w:line="360" w:lineRule="auto"/>
        <w:ind w:left="0" w:firstLine="360"/>
        <w:rPr>
          <w:rFonts w:ascii="宋体" w:hAnsi="宋体" w:cstheme="minorBidi"/>
          <w:sz w:val="24"/>
          <w:szCs w:val="24"/>
        </w:rPr>
      </w:pPr>
      <w:r>
        <w:rPr>
          <w:rFonts w:hint="eastAsia" w:ascii="宋体" w:hAnsi="宋体" w:cstheme="minorBidi"/>
          <w:sz w:val="24"/>
          <w:szCs w:val="24"/>
        </w:rPr>
        <w:t>主备管理节点采用管理平面的心跳检测，备用节点内的主通信服务实时检测主用节点的健康状态，一旦发现主用管理节点故障，备用管理节点立即接管主用节点业务，持续对外提供服务。支持第三节点仲裁判断，降低脑裂风险。</w:t>
      </w:r>
    </w:p>
    <w:p>
      <w:pPr>
        <w:pStyle w:val="65"/>
        <w:numPr>
          <w:ilvl w:val="0"/>
          <w:numId w:val="23"/>
        </w:numPr>
        <w:spacing w:after="80" w:line="360" w:lineRule="auto"/>
        <w:jc w:val="both"/>
        <w:outlineLvl w:val="9"/>
        <w:rPr>
          <w:rFonts w:ascii="黑体" w:hAnsi="黑体" w:eastAsia="黑体" w:cstheme="minorBidi"/>
          <w:color w:val="800000"/>
          <w:kern w:val="2"/>
          <w:sz w:val="24"/>
          <w:lang w:eastAsia="zh-CN"/>
        </w:rPr>
      </w:pPr>
      <w:r>
        <w:rPr>
          <w:rFonts w:hint="eastAsia" w:ascii="黑体" w:hAnsi="黑体" w:eastAsia="黑体" w:cstheme="minorBidi"/>
          <w:color w:val="800000"/>
          <w:kern w:val="2"/>
          <w:sz w:val="24"/>
          <w:lang w:eastAsia="zh-CN"/>
        </w:rPr>
        <w:t>管理数据同步</w:t>
      </w:r>
    </w:p>
    <w:p>
      <w:pPr>
        <w:spacing w:line="360" w:lineRule="auto"/>
        <w:ind w:left="0" w:firstLine="360"/>
        <w:rPr>
          <w:rFonts w:ascii="宋体" w:hAnsi="宋体" w:cstheme="minorBidi"/>
          <w:sz w:val="24"/>
          <w:szCs w:val="24"/>
        </w:rPr>
      </w:pPr>
      <w:r>
        <w:rPr>
          <w:rFonts w:hint="eastAsia" w:ascii="宋体" w:hAnsi="宋体" w:cstheme="minorBidi"/>
          <w:sz w:val="24"/>
          <w:szCs w:val="24"/>
        </w:rPr>
        <w:t>主管理节点内的双机热备服务程序实时将管理数据库和虚拟机配置文件的变化增量通过数据交换服务同步到备用节点。当主用节点故障时，备用节点立即接管主用节点业务，数据库平滑切换，确保数据不丢失。</w:t>
      </w:r>
    </w:p>
    <w:p>
      <w:pPr>
        <w:pStyle w:val="65"/>
        <w:numPr>
          <w:ilvl w:val="0"/>
          <w:numId w:val="23"/>
        </w:numPr>
        <w:spacing w:after="80" w:line="360" w:lineRule="auto"/>
        <w:jc w:val="both"/>
        <w:outlineLvl w:val="9"/>
        <w:rPr>
          <w:rFonts w:ascii="黑体" w:hAnsi="黑体" w:eastAsia="黑体" w:cstheme="minorBidi"/>
          <w:color w:val="800000"/>
          <w:kern w:val="2"/>
          <w:sz w:val="24"/>
          <w:lang w:eastAsia="zh-CN"/>
        </w:rPr>
      </w:pPr>
      <w:r>
        <w:rPr>
          <w:rFonts w:hint="eastAsia" w:ascii="黑体" w:hAnsi="黑体" w:eastAsia="黑体" w:cstheme="minorBidi"/>
          <w:color w:val="800000"/>
          <w:kern w:val="2"/>
          <w:sz w:val="24"/>
          <w:lang w:eastAsia="zh-CN"/>
        </w:rPr>
        <w:t>管理数据备份</w:t>
      </w:r>
    </w:p>
    <w:p>
      <w:pPr>
        <w:spacing w:line="360" w:lineRule="auto"/>
        <w:ind w:left="0" w:firstLine="360"/>
        <w:rPr>
          <w:rFonts w:ascii="宋体" w:hAnsi="宋体" w:cstheme="minorBidi"/>
          <w:sz w:val="24"/>
          <w:szCs w:val="24"/>
        </w:rPr>
      </w:pPr>
      <w:r>
        <w:rPr>
          <w:rFonts w:hint="eastAsia" w:ascii="宋体" w:hAnsi="宋体" w:cstheme="minorBidi"/>
          <w:sz w:val="24"/>
          <w:szCs w:val="24"/>
        </w:rPr>
        <w:t>超融合管理的数据可以定时自动备份和手工定时备份到指定的存储位置。例如，当维护工程师在对系统进行重大操作（如升级和重大配置调整等）之前，为了保证虚拟化管理平台在出现异常或未达到预期目标时可以及时进行数据恢复，对虚拟化管理的影响降到最低。</w:t>
      </w:r>
    </w:p>
    <w:p>
      <w:pPr>
        <w:pStyle w:val="5"/>
        <w:spacing w:line="360" w:lineRule="auto"/>
        <w:rPr>
          <w:sz w:val="24"/>
          <w:szCs w:val="24"/>
        </w:rPr>
      </w:pPr>
      <w:bookmarkStart w:id="44" w:name="_Toc54343079"/>
      <w:r>
        <w:rPr>
          <w:rFonts w:hint="eastAsia"/>
          <w:sz w:val="24"/>
          <w:szCs w:val="24"/>
        </w:rPr>
        <w:t>平台运维监控功能设计</w:t>
      </w:r>
      <w:bookmarkEnd w:id="44"/>
    </w:p>
    <w:p>
      <w:pPr>
        <w:pStyle w:val="65"/>
        <w:numPr>
          <w:ilvl w:val="0"/>
          <w:numId w:val="24"/>
        </w:numPr>
        <w:spacing w:after="80" w:line="360" w:lineRule="auto"/>
        <w:jc w:val="both"/>
        <w:outlineLvl w:val="9"/>
        <w:rPr>
          <w:rFonts w:ascii="黑体" w:hAnsi="黑体" w:eastAsia="黑体"/>
          <w:color w:val="800000"/>
          <w:sz w:val="24"/>
          <w:lang w:eastAsia="zh-CN"/>
        </w:rPr>
      </w:pPr>
      <w:r>
        <w:rPr>
          <w:rFonts w:hint="eastAsia" w:ascii="黑体" w:hAnsi="黑体" w:eastAsia="黑体"/>
          <w:color w:val="800000"/>
          <w:sz w:val="24"/>
          <w:lang w:eastAsia="zh-CN"/>
        </w:rPr>
        <w:t>一键健康</w:t>
      </w:r>
      <w:r>
        <w:rPr>
          <w:rFonts w:ascii="黑体" w:hAnsi="黑体" w:eastAsia="黑体"/>
          <w:color w:val="800000"/>
          <w:sz w:val="24"/>
          <w:lang w:eastAsia="zh-CN"/>
        </w:rPr>
        <w:t>巡检和</w:t>
      </w:r>
      <w:r>
        <w:rPr>
          <w:rFonts w:hint="eastAsia" w:ascii="黑体" w:hAnsi="黑体" w:eastAsia="黑体"/>
          <w:color w:val="800000"/>
          <w:sz w:val="24"/>
          <w:lang w:eastAsia="zh-CN"/>
        </w:rPr>
        <w:t>一键运维</w:t>
      </w:r>
      <w:r>
        <w:rPr>
          <w:rFonts w:ascii="黑体" w:hAnsi="黑体" w:eastAsia="黑体"/>
          <w:color w:val="800000"/>
          <w:sz w:val="24"/>
          <w:lang w:eastAsia="zh-CN"/>
        </w:rPr>
        <w:t>管理</w:t>
      </w:r>
    </w:p>
    <w:p>
      <w:pPr>
        <w:spacing w:line="360" w:lineRule="auto"/>
        <w:ind w:left="0" w:firstLine="420"/>
        <w:rPr>
          <w:sz w:val="24"/>
          <w:szCs w:val="24"/>
        </w:rPr>
      </w:pPr>
      <w:r>
        <w:rPr>
          <w:rFonts w:hint="eastAsia"/>
          <w:sz w:val="24"/>
          <w:szCs w:val="24"/>
        </w:rPr>
        <w:t>为了使产品具有高效易用的可管理性，超融合管理软件应提供简易和高效的操作体验，一键超融合</w:t>
      </w:r>
      <w:r>
        <w:rPr>
          <w:sz w:val="24"/>
          <w:szCs w:val="24"/>
        </w:rPr>
        <w:t>环境健康巡检</w:t>
      </w:r>
      <w:r>
        <w:rPr>
          <w:rFonts w:hint="eastAsia"/>
          <w:sz w:val="24"/>
          <w:szCs w:val="24"/>
        </w:rPr>
        <w:t>可简化和</w:t>
      </w:r>
      <w:r>
        <w:rPr>
          <w:sz w:val="24"/>
          <w:szCs w:val="24"/>
        </w:rPr>
        <w:t>自动化</w:t>
      </w:r>
      <w:r>
        <w:rPr>
          <w:rFonts w:hint="eastAsia"/>
          <w:sz w:val="24"/>
          <w:szCs w:val="24"/>
        </w:rPr>
        <w:t>日常的巡检与运维工作。健康巡检采用积极的方式，深入了解客户超融合运行环境，对客户的计算节点、网络状况、存储繁忙度、虚拟化资源等状态进行隐患检查，自动分析可能存在的问题，帮助IT管理员发现潜在的风险，防患于未然，确保超融合环境的持续健康工作和业务的稳定顺利运行。超融合管理软件的一键健康巡检实现了自动收集超融合关键环境指标信息，通过后台嵌入的风险库，根据收集的超融合现场环境信息进行自动风险评估，输出超融合环境可能存在的问题与风险，并针对风险项，提供有效的改进建议，无需人工分析，极大地提升了运维效率。</w:t>
      </w:r>
    </w:p>
    <w:p>
      <w:pPr>
        <w:spacing w:line="360" w:lineRule="auto"/>
        <w:ind w:left="0" w:firstLine="420"/>
        <w:rPr>
          <w:sz w:val="24"/>
          <w:szCs w:val="24"/>
        </w:rPr>
      </w:pPr>
      <w:r>
        <w:rPr>
          <w:rFonts w:hint="eastAsia"/>
          <w:sz w:val="24"/>
          <w:szCs w:val="24"/>
        </w:rPr>
        <w:t>超融合管理软件应</w:t>
      </w:r>
      <w:r>
        <w:rPr>
          <w:sz w:val="24"/>
          <w:szCs w:val="24"/>
        </w:rPr>
        <w:t>支持</w:t>
      </w:r>
      <w:r>
        <w:rPr>
          <w:rFonts w:hint="eastAsia"/>
          <w:sz w:val="24"/>
          <w:szCs w:val="24"/>
        </w:rPr>
        <w:t>自动搜集多项关键环境指标信息，包括当前系统总体健康状况、计算与存储集群健康状况、计算节点硬件（CPU、内存、网卡、磁盘、电源、风扇、RAID卡、HBA卡等）工作状态、计算节点健康状态、虚拟机工作状态、虚拟机防病毒配置、虚拟网络健康状况、存储空间利用率、存储I/O延迟、告警消息处理情况、License授权状态等，根据与风险库的对比，输出超融合环境系统的运行健康汇总报表，及时告知异常状态，并针对风险项，提供有效的改进建议，引导IT管理员定位问题。</w:t>
      </w:r>
    </w:p>
    <w:p>
      <w:pPr>
        <w:spacing w:line="360" w:lineRule="auto"/>
        <w:ind w:left="0" w:firstLine="420"/>
        <w:rPr>
          <w:sz w:val="24"/>
          <w:szCs w:val="24"/>
        </w:rPr>
      </w:pPr>
      <w:r>
        <w:rPr>
          <w:rFonts w:hint="eastAsia"/>
          <w:sz w:val="24"/>
          <w:szCs w:val="24"/>
        </w:rPr>
        <w:t>另一方面</w:t>
      </w:r>
      <w:r>
        <w:rPr>
          <w:sz w:val="24"/>
          <w:szCs w:val="24"/>
        </w:rPr>
        <w:t>，</w:t>
      </w:r>
      <w:r>
        <w:rPr>
          <w:rFonts w:hint="eastAsia"/>
          <w:sz w:val="24"/>
          <w:szCs w:val="24"/>
        </w:rPr>
        <w:t>为了</w:t>
      </w:r>
      <w:r>
        <w:rPr>
          <w:sz w:val="24"/>
          <w:szCs w:val="24"/>
        </w:rPr>
        <w:t>提高</w:t>
      </w:r>
      <w:r>
        <w:rPr>
          <w:rFonts w:hint="eastAsia"/>
          <w:sz w:val="24"/>
          <w:szCs w:val="24"/>
        </w:rPr>
        <w:t>超融合</w:t>
      </w:r>
      <w:r>
        <w:rPr>
          <w:sz w:val="24"/>
          <w:szCs w:val="24"/>
        </w:rPr>
        <w:t>集群</w:t>
      </w:r>
      <w:r>
        <w:rPr>
          <w:rFonts w:hint="eastAsia"/>
          <w:sz w:val="24"/>
          <w:szCs w:val="24"/>
        </w:rPr>
        <w:t>运维管理的</w:t>
      </w:r>
      <w:r>
        <w:rPr>
          <w:sz w:val="24"/>
          <w:szCs w:val="24"/>
        </w:rPr>
        <w:t>效率</w:t>
      </w:r>
      <w:r>
        <w:rPr>
          <w:rFonts w:hint="eastAsia"/>
          <w:sz w:val="24"/>
          <w:szCs w:val="24"/>
        </w:rPr>
        <w:t>，</w:t>
      </w:r>
      <w:r>
        <w:rPr>
          <w:sz w:val="24"/>
          <w:szCs w:val="24"/>
        </w:rPr>
        <w:t>超融合软件</w:t>
      </w:r>
      <w:r>
        <w:rPr>
          <w:rFonts w:hint="eastAsia"/>
          <w:sz w:val="24"/>
          <w:szCs w:val="24"/>
        </w:rPr>
        <w:t>应</w:t>
      </w:r>
      <w:r>
        <w:rPr>
          <w:sz w:val="24"/>
          <w:szCs w:val="24"/>
        </w:rPr>
        <w:t>提供</w:t>
      </w:r>
      <w:r>
        <w:rPr>
          <w:rFonts w:hint="eastAsia"/>
          <w:sz w:val="24"/>
          <w:szCs w:val="24"/>
        </w:rPr>
        <w:t>一键式运维管理，</w:t>
      </w:r>
      <w:r>
        <w:rPr>
          <w:sz w:val="24"/>
          <w:szCs w:val="24"/>
        </w:rPr>
        <w:t>简化</w:t>
      </w:r>
      <w:r>
        <w:rPr>
          <w:rFonts w:hint="eastAsia"/>
          <w:sz w:val="24"/>
          <w:szCs w:val="24"/>
        </w:rPr>
        <w:t>IT管理员</w:t>
      </w:r>
      <w:r>
        <w:rPr>
          <w:sz w:val="24"/>
          <w:szCs w:val="24"/>
        </w:rPr>
        <w:t>对流程模式固定的运维项，</w:t>
      </w:r>
      <w:r>
        <w:rPr>
          <w:rFonts w:hint="eastAsia"/>
          <w:sz w:val="24"/>
          <w:szCs w:val="24"/>
        </w:rPr>
        <w:t>其中</w:t>
      </w:r>
      <w:r>
        <w:rPr>
          <w:sz w:val="24"/>
          <w:szCs w:val="24"/>
        </w:rPr>
        <w:t>的批量处理</w:t>
      </w:r>
      <w:r>
        <w:rPr>
          <w:rFonts w:hint="eastAsia"/>
          <w:sz w:val="24"/>
          <w:szCs w:val="24"/>
        </w:rPr>
        <w:t>、</w:t>
      </w:r>
      <w:r>
        <w:rPr>
          <w:sz w:val="24"/>
          <w:szCs w:val="24"/>
        </w:rPr>
        <w:t>初始化部署也会提高系统整体的运维效率</w:t>
      </w:r>
      <w:r>
        <w:rPr>
          <w:rFonts w:hint="eastAsia"/>
          <w:sz w:val="24"/>
          <w:szCs w:val="24"/>
        </w:rPr>
        <w:t>。</w:t>
      </w:r>
    </w:p>
    <w:p>
      <w:pPr>
        <w:pStyle w:val="70"/>
        <w:numPr>
          <w:ilvl w:val="0"/>
          <w:numId w:val="25"/>
        </w:numPr>
        <w:spacing w:after="80" w:line="360" w:lineRule="auto"/>
        <w:jc w:val="both"/>
        <w:rPr>
          <w:rFonts w:ascii="宋体" w:hAnsi="宋体"/>
          <w:sz w:val="24"/>
          <w:szCs w:val="24"/>
          <w:lang w:eastAsia="zh-CN"/>
        </w:rPr>
      </w:pPr>
      <w:r>
        <w:rPr>
          <w:sz w:val="24"/>
          <w:szCs w:val="24"/>
          <w:lang w:eastAsia="zh-CN"/>
        </w:rPr>
        <w:t>一键管理平台存储清理：</w:t>
      </w:r>
      <w:r>
        <w:rPr>
          <w:rFonts w:hint="eastAsia" w:ascii="宋体" w:hAnsi="宋体"/>
          <w:sz w:val="24"/>
          <w:szCs w:val="24"/>
          <w:lang w:eastAsia="zh-CN"/>
        </w:rPr>
        <w:t>存储清理用于扫描和检测虚拟机和后端存储文件的关联关系。对于未被任何虚拟机挂载的存储文件，同时又不是虚拟机操作系统安装包</w:t>
      </w:r>
      <w:r>
        <w:rPr>
          <w:sz w:val="24"/>
          <w:szCs w:val="24"/>
          <w:lang w:eastAsia="zh-CN"/>
        </w:rPr>
        <w:t>(ISO)</w:t>
      </w:r>
      <w:r>
        <w:rPr>
          <w:rFonts w:hint="eastAsia" w:ascii="宋体" w:hAnsi="宋体"/>
          <w:sz w:val="24"/>
          <w:szCs w:val="24"/>
          <w:lang w:eastAsia="zh-CN"/>
        </w:rPr>
        <w:t>以及虚拟化驱动程序的文件，我们将其视为空闲存储文件，用户可以对扫描出的空闲的存储文件进行选择性的清理，以释放存储空间；</w:t>
      </w:r>
    </w:p>
    <w:p>
      <w:pPr>
        <w:pStyle w:val="70"/>
        <w:numPr>
          <w:ilvl w:val="0"/>
          <w:numId w:val="25"/>
        </w:numPr>
        <w:spacing w:after="80" w:line="360" w:lineRule="auto"/>
        <w:jc w:val="both"/>
        <w:rPr>
          <w:sz w:val="24"/>
          <w:szCs w:val="24"/>
          <w:lang w:eastAsia="zh-CN"/>
        </w:rPr>
      </w:pPr>
      <w:r>
        <w:rPr>
          <w:rFonts w:hint="eastAsia" w:ascii="宋体" w:hAnsi="宋体"/>
          <w:sz w:val="24"/>
          <w:szCs w:val="24"/>
          <w:lang w:eastAsia="zh-CN"/>
        </w:rPr>
        <w:t>一键</w:t>
      </w:r>
      <w:r>
        <w:rPr>
          <w:rFonts w:ascii="宋体" w:hAnsi="宋体"/>
          <w:sz w:val="24"/>
          <w:szCs w:val="24"/>
          <w:lang w:eastAsia="zh-CN"/>
        </w:rPr>
        <w:t>资源导出：</w:t>
      </w:r>
      <w:r>
        <w:rPr>
          <w:rFonts w:hint="eastAsia" w:ascii="宋体" w:hAnsi="宋体"/>
          <w:sz w:val="24"/>
          <w:szCs w:val="24"/>
          <w:lang w:eastAsia="zh-CN"/>
        </w:rPr>
        <w:t>一键导出平台内虚拟机或主机的信息和资源占用情况，支持打印或者导出为</w:t>
      </w:r>
      <w:r>
        <w:rPr>
          <w:sz w:val="24"/>
          <w:szCs w:val="24"/>
          <w:lang w:eastAsia="zh-CN"/>
        </w:rPr>
        <w:t>excel</w:t>
      </w:r>
      <w:r>
        <w:rPr>
          <w:rFonts w:hint="eastAsia" w:ascii="宋体" w:hAnsi="宋体"/>
          <w:sz w:val="24"/>
          <w:szCs w:val="24"/>
          <w:lang w:eastAsia="zh-CN"/>
        </w:rPr>
        <w:t>或者</w:t>
      </w:r>
      <w:r>
        <w:rPr>
          <w:sz w:val="24"/>
          <w:szCs w:val="24"/>
          <w:lang w:eastAsia="zh-CN"/>
        </w:rPr>
        <w:t>pdf</w:t>
      </w:r>
      <w:r>
        <w:rPr>
          <w:rFonts w:hint="eastAsia" w:ascii="宋体" w:hAnsi="宋体"/>
          <w:sz w:val="24"/>
          <w:szCs w:val="24"/>
          <w:lang w:eastAsia="zh-CN"/>
        </w:rPr>
        <w:t>；</w:t>
      </w:r>
    </w:p>
    <w:p>
      <w:pPr>
        <w:pStyle w:val="70"/>
        <w:numPr>
          <w:ilvl w:val="0"/>
          <w:numId w:val="25"/>
        </w:numPr>
        <w:spacing w:after="80" w:line="360" w:lineRule="auto"/>
        <w:jc w:val="both"/>
        <w:rPr>
          <w:sz w:val="24"/>
          <w:szCs w:val="24"/>
          <w:lang w:eastAsia="zh-CN"/>
        </w:rPr>
      </w:pPr>
      <w:r>
        <w:rPr>
          <w:rFonts w:hint="eastAsia" w:ascii="宋体" w:hAnsi="宋体"/>
          <w:sz w:val="24"/>
          <w:szCs w:val="24"/>
          <w:lang w:eastAsia="zh-CN"/>
        </w:rPr>
        <w:t>一键僵尸</w:t>
      </w:r>
      <w:r>
        <w:rPr>
          <w:rFonts w:ascii="宋体" w:hAnsi="宋体"/>
          <w:sz w:val="24"/>
          <w:szCs w:val="24"/>
          <w:lang w:eastAsia="zh-CN"/>
        </w:rPr>
        <w:t>虚机管理：</w:t>
      </w:r>
      <w:r>
        <w:rPr>
          <w:rFonts w:hint="eastAsia" w:ascii="宋体" w:hAnsi="宋体"/>
          <w:sz w:val="24"/>
          <w:szCs w:val="24"/>
          <w:lang w:eastAsia="zh-CN"/>
        </w:rPr>
        <w:t>僵尸虚拟机是指长时间未使用且处于关闭状态的虚拟机。一键僵尸虚机管理可以便捷地按照关机时间来查看和管理。支持批量启动和删除操作；</w:t>
      </w:r>
    </w:p>
    <w:p>
      <w:pPr>
        <w:pStyle w:val="70"/>
        <w:numPr>
          <w:ilvl w:val="0"/>
          <w:numId w:val="25"/>
        </w:numPr>
        <w:spacing w:after="80" w:line="360" w:lineRule="auto"/>
        <w:jc w:val="both"/>
        <w:rPr>
          <w:sz w:val="24"/>
          <w:szCs w:val="24"/>
          <w:lang w:eastAsia="zh-CN"/>
        </w:rPr>
      </w:pPr>
      <w:r>
        <w:rPr>
          <w:rFonts w:hint="eastAsia"/>
          <w:sz w:val="24"/>
          <w:szCs w:val="24"/>
          <w:lang w:eastAsia="zh-CN"/>
        </w:rPr>
        <w:t>一键资源分析:使用一键鼠标按钮分析虚拟机、主机历史资源使用情况，提供规划决策数据支撑；</w:t>
      </w:r>
    </w:p>
    <w:p>
      <w:pPr>
        <w:pStyle w:val="70"/>
        <w:numPr>
          <w:ilvl w:val="0"/>
          <w:numId w:val="25"/>
        </w:numPr>
        <w:spacing w:after="80" w:line="360" w:lineRule="auto"/>
        <w:jc w:val="both"/>
        <w:rPr>
          <w:sz w:val="24"/>
          <w:szCs w:val="24"/>
          <w:lang w:eastAsia="zh-CN"/>
        </w:rPr>
      </w:pPr>
      <w:r>
        <w:rPr>
          <w:rFonts w:hint="eastAsia"/>
          <w:sz w:val="24"/>
          <w:szCs w:val="24"/>
          <w:lang w:eastAsia="zh-CN"/>
        </w:rPr>
        <w:t>一键虚机还原:使用一键鼠标按钮还原虚拟机到指定还原点状态，基于备份功能，虚机误删不影响还原功能；</w:t>
      </w:r>
    </w:p>
    <w:p>
      <w:pPr>
        <w:pStyle w:val="70"/>
        <w:numPr>
          <w:ilvl w:val="0"/>
          <w:numId w:val="25"/>
        </w:numPr>
        <w:spacing w:after="80" w:line="360" w:lineRule="auto"/>
        <w:jc w:val="both"/>
        <w:rPr>
          <w:sz w:val="24"/>
          <w:szCs w:val="24"/>
          <w:lang w:eastAsia="zh-CN"/>
        </w:rPr>
      </w:pPr>
      <w:r>
        <w:rPr>
          <w:rFonts w:hint="eastAsia" w:ascii="宋体" w:hAnsi="宋体"/>
          <w:sz w:val="24"/>
          <w:szCs w:val="24"/>
          <w:lang w:eastAsia="zh-CN"/>
        </w:rPr>
        <w:t>超融合</w:t>
      </w:r>
      <w:r>
        <w:rPr>
          <w:rFonts w:ascii="宋体" w:hAnsi="宋体"/>
          <w:sz w:val="24"/>
          <w:szCs w:val="24"/>
          <w:lang w:eastAsia="zh-CN"/>
        </w:rPr>
        <w:t>平台快速初始化部署：</w:t>
      </w:r>
      <w:r>
        <w:rPr>
          <w:rFonts w:hint="eastAsia" w:ascii="宋体" w:hAnsi="宋体"/>
          <w:sz w:val="24"/>
          <w:szCs w:val="24"/>
          <w:lang w:eastAsia="zh-CN"/>
        </w:rPr>
        <w:t>通过二层网络</w:t>
      </w:r>
      <w:r>
        <w:rPr>
          <w:sz w:val="24"/>
          <w:szCs w:val="24"/>
          <w:lang w:eastAsia="zh-CN"/>
        </w:rPr>
        <w:t>(arp)</w:t>
      </w:r>
      <w:r>
        <w:rPr>
          <w:rFonts w:hint="eastAsia" w:ascii="宋体" w:hAnsi="宋体"/>
          <w:sz w:val="24"/>
          <w:szCs w:val="24"/>
          <w:lang w:eastAsia="zh-CN"/>
        </w:rPr>
        <w:t>自有协议扫描发现其他未配置的主机，统一下发网络等配置，避免了繁琐的人工配置和部署步骤；初始化流程完整地配置了网络、计算和存储服务，极大地缩短了部署的时间，降低了实施的难度。</w:t>
      </w:r>
    </w:p>
    <w:p>
      <w:pPr>
        <w:pStyle w:val="65"/>
        <w:numPr>
          <w:ilvl w:val="0"/>
          <w:numId w:val="24"/>
        </w:numPr>
        <w:spacing w:after="80" w:line="360" w:lineRule="auto"/>
        <w:jc w:val="both"/>
        <w:outlineLvl w:val="9"/>
        <w:rPr>
          <w:rFonts w:ascii="黑体" w:hAnsi="黑体" w:eastAsia="黑体"/>
          <w:color w:val="800000"/>
          <w:sz w:val="24"/>
          <w:lang w:eastAsia="zh-CN"/>
        </w:rPr>
      </w:pPr>
      <w:r>
        <w:rPr>
          <w:rFonts w:hint="eastAsia" w:ascii="黑体" w:hAnsi="黑体" w:eastAsia="黑体"/>
          <w:color w:val="800000"/>
          <w:sz w:val="24"/>
          <w:lang w:eastAsia="zh-CN"/>
        </w:rPr>
        <w:t>软硬件监控分析、首页和</w:t>
      </w:r>
      <w:r>
        <w:rPr>
          <w:rFonts w:ascii="黑体" w:hAnsi="黑体" w:eastAsia="黑体"/>
          <w:color w:val="800000"/>
          <w:sz w:val="24"/>
          <w:lang w:eastAsia="zh-CN"/>
        </w:rPr>
        <w:t>大屏</w:t>
      </w:r>
    </w:p>
    <w:p>
      <w:pPr>
        <w:spacing w:line="360" w:lineRule="auto"/>
        <w:ind w:left="0" w:firstLine="397"/>
        <w:rPr>
          <w:sz w:val="24"/>
          <w:szCs w:val="24"/>
        </w:rPr>
      </w:pPr>
      <w:r>
        <w:rPr>
          <w:rFonts w:hint="eastAsia"/>
          <w:sz w:val="24"/>
          <w:szCs w:val="24"/>
        </w:rPr>
        <w:t>超融合</w:t>
      </w:r>
      <w:r>
        <w:rPr>
          <w:sz w:val="24"/>
          <w:szCs w:val="24"/>
        </w:rPr>
        <w:t>管理平台应支持</w:t>
      </w:r>
      <w:r>
        <w:rPr>
          <w:rFonts w:hint="eastAsia"/>
          <w:sz w:val="24"/>
          <w:szCs w:val="24"/>
        </w:rPr>
        <w:t>软硬件平台</w:t>
      </w:r>
      <w:r>
        <w:rPr>
          <w:sz w:val="24"/>
          <w:szCs w:val="24"/>
        </w:rPr>
        <w:t>监控、监控报表</w:t>
      </w:r>
      <w:r>
        <w:rPr>
          <w:rFonts w:hint="eastAsia"/>
          <w:sz w:val="24"/>
          <w:szCs w:val="24"/>
        </w:rPr>
        <w:t>和</w:t>
      </w:r>
      <w:r>
        <w:rPr>
          <w:sz w:val="24"/>
          <w:szCs w:val="24"/>
        </w:rPr>
        <w:t>资源使用统计</w:t>
      </w:r>
      <w:r>
        <w:rPr>
          <w:rFonts w:hint="eastAsia"/>
          <w:sz w:val="24"/>
          <w:szCs w:val="24"/>
        </w:rPr>
        <w:t>的监控</w:t>
      </w:r>
      <w:r>
        <w:rPr>
          <w:sz w:val="24"/>
          <w:szCs w:val="24"/>
        </w:rPr>
        <w:t>分析</w:t>
      </w:r>
      <w:r>
        <w:rPr>
          <w:rFonts w:hint="eastAsia"/>
          <w:sz w:val="24"/>
          <w:szCs w:val="24"/>
        </w:rPr>
        <w:t>能力、</w:t>
      </w:r>
      <w:r>
        <w:rPr>
          <w:sz w:val="24"/>
          <w:szCs w:val="24"/>
        </w:rPr>
        <w:t>首页和大屏</w:t>
      </w:r>
      <w:r>
        <w:rPr>
          <w:rFonts w:hint="eastAsia"/>
          <w:sz w:val="24"/>
          <w:szCs w:val="24"/>
        </w:rPr>
        <w:t>的</w:t>
      </w:r>
      <w:r>
        <w:rPr>
          <w:sz w:val="24"/>
          <w:szCs w:val="24"/>
        </w:rPr>
        <w:t>功能服务</w:t>
      </w:r>
      <w:r>
        <w:rPr>
          <w:rFonts w:hint="eastAsia"/>
          <w:sz w:val="24"/>
          <w:szCs w:val="24"/>
        </w:rPr>
        <w:t>。</w:t>
      </w:r>
    </w:p>
    <w:p>
      <w:pPr>
        <w:pStyle w:val="70"/>
        <w:spacing w:line="360" w:lineRule="auto"/>
        <w:rPr>
          <w:sz w:val="24"/>
          <w:szCs w:val="24"/>
          <w:lang w:eastAsia="zh-CN"/>
        </w:rPr>
      </w:pPr>
      <w:r>
        <w:rPr>
          <w:rFonts w:hint="eastAsia"/>
          <w:sz w:val="24"/>
          <w:szCs w:val="24"/>
          <w:lang w:eastAsia="zh-CN"/>
        </w:rPr>
        <w:t>超融合</w:t>
      </w:r>
      <w:r>
        <w:rPr>
          <w:sz w:val="24"/>
          <w:szCs w:val="24"/>
          <w:lang w:eastAsia="zh-CN"/>
        </w:rPr>
        <w:t>管理软件应支持</w:t>
      </w:r>
      <w:r>
        <w:rPr>
          <w:rFonts w:hint="eastAsia"/>
          <w:sz w:val="24"/>
          <w:szCs w:val="24"/>
          <w:lang w:eastAsia="zh-CN"/>
        </w:rPr>
        <w:t>对超融合一体机的硬件平台进行监控，包括主机硬件监控相关信息，包括主机的摘要信息、处理器信息、内存信息、硬盘信息、温度信息、电源信息和风扇信息。</w:t>
      </w:r>
    </w:p>
    <w:p>
      <w:pPr>
        <w:pStyle w:val="70"/>
        <w:spacing w:line="360" w:lineRule="auto"/>
        <w:rPr>
          <w:sz w:val="24"/>
          <w:szCs w:val="24"/>
          <w:lang w:eastAsia="zh-CN"/>
        </w:rPr>
      </w:pPr>
      <w:r>
        <w:rPr>
          <w:sz w:val="24"/>
          <w:szCs w:val="24"/>
          <w:lang w:eastAsia="zh-CN"/>
        </w:rPr>
        <w:t>超融合软件应支持监控分析能力，</w:t>
      </w:r>
      <w:r>
        <w:rPr>
          <w:rFonts w:hint="eastAsia"/>
          <w:sz w:val="24"/>
          <w:szCs w:val="24"/>
          <w:lang w:eastAsia="zh-CN"/>
        </w:rPr>
        <w:t>比如</w:t>
      </w:r>
      <w:r>
        <w:rPr>
          <w:sz w:val="24"/>
          <w:szCs w:val="24"/>
          <w:lang w:eastAsia="zh-CN"/>
        </w:rPr>
        <w:t>监控报表、资源使用统计等分析服务。</w:t>
      </w:r>
      <w:r>
        <w:rPr>
          <w:rFonts w:hint="eastAsia"/>
          <w:sz w:val="24"/>
          <w:szCs w:val="24"/>
          <w:lang w:eastAsia="zh-CN"/>
        </w:rPr>
        <w:t>监控报表管理功能用于统计和展示操作员所关心的主机和虚拟机性能数据，如CPU利用率、内存利用率、磁盘利用率、磁盘读写速率、网络读写流量、网络读写速率、磁盘I/O吞吐量。同时，超融合</w:t>
      </w:r>
      <w:r>
        <w:rPr>
          <w:sz w:val="24"/>
          <w:szCs w:val="24"/>
          <w:lang w:eastAsia="zh-CN"/>
        </w:rPr>
        <w:t>软件可</w:t>
      </w:r>
      <w:r>
        <w:rPr>
          <w:rFonts w:hint="eastAsia"/>
          <w:sz w:val="24"/>
          <w:szCs w:val="24"/>
          <w:lang w:eastAsia="zh-CN"/>
        </w:rPr>
        <w:t>提供将报表保存到本地的功能，操作员可以将查询报表结果保存为图片或者PDF文档。而资源使用统计功能主要用于对操作员所关注的系统中主机、虚拟机、</w:t>
      </w:r>
      <w:r>
        <w:rPr>
          <w:sz w:val="24"/>
          <w:szCs w:val="24"/>
          <w:lang w:eastAsia="zh-CN"/>
        </w:rPr>
        <w:t>IP</w:t>
      </w:r>
      <w:r>
        <w:rPr>
          <w:rFonts w:hint="eastAsia"/>
          <w:sz w:val="24"/>
          <w:szCs w:val="24"/>
          <w:lang w:eastAsia="zh-CN"/>
        </w:rPr>
        <w:t>、</w:t>
      </w:r>
      <w:r>
        <w:rPr>
          <w:sz w:val="24"/>
          <w:szCs w:val="24"/>
          <w:lang w:eastAsia="zh-CN"/>
        </w:rPr>
        <w:t>VLAN</w:t>
      </w:r>
      <w:r>
        <w:rPr>
          <w:rFonts w:hint="eastAsia"/>
          <w:sz w:val="24"/>
          <w:szCs w:val="24"/>
          <w:lang w:eastAsia="zh-CN"/>
        </w:rPr>
        <w:t>和存储资源分配情况的统计，给操作员提供一个更为详细的资源使用统计。</w:t>
      </w:r>
    </w:p>
    <w:p>
      <w:pPr>
        <w:pStyle w:val="70"/>
        <w:spacing w:line="360" w:lineRule="auto"/>
        <w:rPr>
          <w:sz w:val="24"/>
          <w:szCs w:val="24"/>
          <w:lang w:eastAsia="zh-CN"/>
        </w:rPr>
      </w:pPr>
      <w:r>
        <w:rPr>
          <w:rFonts w:hint="eastAsia"/>
          <w:sz w:val="24"/>
          <w:szCs w:val="24"/>
          <w:lang w:eastAsia="zh-CN"/>
        </w:rPr>
        <w:t>Dashboard首页是访问超融合管理软件之后的首页信息展示，是向IT管理员展示超融合运行环境度量信息和KPI（Key Performance Indicator，关键业务指标）现状的数据可视化模块。Dashboard首页通过从超融合底层运行环境数据源获取实时数据，帮助IT管理员清晰地监控和分析关键数据，快速掌握超融合环境的资源使用现状，为企业基础设施管理提供更直观的使用体验。</w:t>
      </w:r>
    </w:p>
    <w:p>
      <w:pPr>
        <w:pStyle w:val="70"/>
        <w:spacing w:line="360" w:lineRule="auto"/>
        <w:rPr>
          <w:sz w:val="24"/>
          <w:szCs w:val="24"/>
          <w:lang w:eastAsia="zh-CN"/>
        </w:rPr>
      </w:pPr>
      <w:r>
        <w:rPr>
          <w:rFonts w:hint="eastAsia"/>
          <w:sz w:val="24"/>
          <w:szCs w:val="24"/>
          <w:lang w:eastAsia="zh-CN"/>
        </w:rPr>
        <w:t>超融合管理软件出厂应提供酷炫的大屏监控功能，将当前超融合环境的整体系统健康状况、分布式存储系统I/O繁忙程度、计算节点健康状况、计算与存储资源分配状况、系统告警信息类别等关键信息以数字化的形式直观地呈现给IT管理员，并在一个大屏上整体展示出来，方便数据中心IT运维管理人员直观地监控当前系统的运行情况。</w:t>
      </w:r>
    </w:p>
    <w:p>
      <w:pPr>
        <w:pStyle w:val="65"/>
        <w:numPr>
          <w:ilvl w:val="0"/>
          <w:numId w:val="24"/>
        </w:numPr>
        <w:spacing w:after="80" w:line="360" w:lineRule="auto"/>
        <w:jc w:val="both"/>
        <w:outlineLvl w:val="9"/>
        <w:rPr>
          <w:rFonts w:ascii="黑体" w:hAnsi="黑体" w:eastAsia="黑体"/>
          <w:color w:val="800000"/>
          <w:sz w:val="24"/>
        </w:rPr>
      </w:pPr>
      <w:r>
        <w:rPr>
          <w:rFonts w:hint="eastAsia" w:ascii="黑体" w:hAnsi="黑体" w:eastAsia="黑体"/>
          <w:color w:val="800000"/>
          <w:sz w:val="24"/>
        </w:rPr>
        <w:t>告警</w:t>
      </w:r>
      <w:r>
        <w:rPr>
          <w:rFonts w:ascii="黑体" w:hAnsi="黑体" w:eastAsia="黑体"/>
          <w:color w:val="800000"/>
          <w:sz w:val="24"/>
        </w:rPr>
        <w:t>管理和</w:t>
      </w:r>
      <w:r>
        <w:rPr>
          <w:rFonts w:hint="eastAsia" w:ascii="黑体" w:hAnsi="黑体" w:eastAsia="黑体"/>
          <w:color w:val="800000"/>
          <w:sz w:val="24"/>
        </w:rPr>
        <w:t>操作</w:t>
      </w:r>
      <w:r>
        <w:rPr>
          <w:rFonts w:ascii="黑体" w:hAnsi="黑体" w:eastAsia="黑体"/>
          <w:color w:val="800000"/>
          <w:sz w:val="24"/>
        </w:rPr>
        <w:t>日志</w:t>
      </w:r>
    </w:p>
    <w:p>
      <w:pPr>
        <w:spacing w:line="360" w:lineRule="auto"/>
        <w:rPr>
          <w:sz w:val="24"/>
          <w:szCs w:val="24"/>
        </w:rPr>
      </w:pPr>
      <w:r>
        <w:rPr>
          <w:rFonts w:hint="eastAsia"/>
          <w:sz w:val="24"/>
          <w:szCs w:val="24"/>
        </w:rPr>
        <w:t>对于云数据中心的运维管理而言，告警是一个最基础且最关键的需求。</w:t>
      </w:r>
    </w:p>
    <w:p>
      <w:pPr>
        <w:pStyle w:val="59"/>
        <w:rPr>
          <w:sz w:val="24"/>
          <w:szCs w:val="24"/>
        </w:rPr>
      </w:pPr>
      <w:r>
        <w:rPr>
          <w:sz w:val="24"/>
          <w:szCs w:val="24"/>
        </w:rPr>
        <w:object>
          <v:shape id="_x0000_i1032" o:spt="75" type="#_x0000_t75" style="height:223.5pt;width:432pt;" o:ole="t" filled="f" o:preferrelative="t" stroked="f" coordsize="21600,21600">
            <v:path/>
            <v:fill on="f" focussize="0,0"/>
            <v:stroke on="f" joinstyle="miter"/>
            <v:imagedata r:id="rId31" o:title=""/>
            <o:lock v:ext="edit" aspectratio="t"/>
            <w10:wrap type="none"/>
            <w10:anchorlock/>
          </v:shape>
          <o:OLEObject Type="Embed" ProgID="PowerPoint.Slide.12" ShapeID="_x0000_i1032" DrawAspect="Content" ObjectID="_1468075732" r:id="rId30">
            <o:LockedField>false</o:LockedField>
          </o:OLEObject>
        </w:object>
      </w:r>
    </w:p>
    <w:p>
      <w:pPr>
        <w:pStyle w:val="51"/>
        <w:jc w:val="center"/>
        <w:rPr>
          <w:sz w:val="24"/>
          <w:szCs w:val="24"/>
        </w:rPr>
      </w:pPr>
      <w:bookmarkStart w:id="45" w:name="_Toc9263405"/>
      <w:bookmarkStart w:id="46" w:name="_Toc472590810"/>
      <w:r>
        <w:rPr>
          <w:rFonts w:hint="eastAsia"/>
          <w:sz w:val="24"/>
          <w:szCs w:val="24"/>
        </w:rPr>
        <w:t>超融合环境告警</w:t>
      </w:r>
      <w:bookmarkEnd w:id="45"/>
      <w:bookmarkEnd w:id="46"/>
      <w:r>
        <w:rPr>
          <w:rFonts w:hint="eastAsia"/>
          <w:sz w:val="24"/>
          <w:szCs w:val="24"/>
        </w:rPr>
        <w:t>管理</w:t>
      </w:r>
    </w:p>
    <w:p>
      <w:pPr>
        <w:spacing w:line="360" w:lineRule="auto"/>
        <w:ind w:left="0" w:firstLine="420"/>
        <w:rPr>
          <w:sz w:val="24"/>
          <w:szCs w:val="24"/>
        </w:rPr>
      </w:pPr>
      <w:r>
        <w:rPr>
          <w:rFonts w:hint="eastAsia"/>
          <w:sz w:val="24"/>
          <w:szCs w:val="24"/>
        </w:rPr>
        <w:t>超融合管理软件提供系统级的安全监控与故障告警能力，定期（默认10秒）扫描预设的告警选项，调用内部接口获取告警消息，并支持通过邮件和短信方式通知给指定的管理员。告警涉及的范围包括重大告警总体状况、集群资源利用率、主机资源利用率告警、虚拟机资源利用率告警、网络连通性告警、存储连通性告警、安全性告警、环境异常告警等多个方面。各类异常告警的统计信息及可能产生的原因与故障恢复手段都应该被虚拟化管理平台直观地展示出来，使系统管理员能够及时知悉告警的产生，协助系统管理员分析异常告警的分布情况和具体原因，为构建一个健康稳定的虚拟化环境提供事实依据。</w:t>
      </w:r>
    </w:p>
    <w:p>
      <w:pPr>
        <w:spacing w:line="360" w:lineRule="auto"/>
        <w:ind w:left="0" w:firstLine="420"/>
        <w:rPr>
          <w:sz w:val="24"/>
          <w:szCs w:val="24"/>
        </w:rPr>
      </w:pPr>
      <w:r>
        <w:rPr>
          <w:rFonts w:hint="eastAsia"/>
          <w:sz w:val="24"/>
          <w:szCs w:val="24"/>
        </w:rPr>
        <w:t>另一方面</w:t>
      </w:r>
      <w:r>
        <w:rPr>
          <w:sz w:val="24"/>
          <w:szCs w:val="24"/>
        </w:rPr>
        <w:t>，</w:t>
      </w:r>
      <w:r>
        <w:rPr>
          <w:rFonts w:hint="eastAsia"/>
          <w:sz w:val="24"/>
          <w:szCs w:val="24"/>
        </w:rPr>
        <w:t>超融合管理软件系统操作日志应详细记录了所有操作员在虚拟化管理平台上所作的操作行为，包括操作员登录名、操作员的姓名、完成时间、登录的IP地址、操作分类、执行结果及失败原因等，为操作员提供了一种直接的审计手段，方便事后审计追踪，并可以根据时间和日志大小对日志进行一键收集。</w:t>
      </w:r>
    </w:p>
    <w:p>
      <w:pPr>
        <w:pStyle w:val="5"/>
        <w:spacing w:line="360" w:lineRule="auto"/>
        <w:rPr>
          <w:sz w:val="24"/>
          <w:szCs w:val="24"/>
        </w:rPr>
      </w:pPr>
      <w:bookmarkStart w:id="47" w:name="_Toc54343080"/>
      <w:r>
        <w:rPr>
          <w:rFonts w:hint="eastAsia"/>
          <w:sz w:val="24"/>
          <w:szCs w:val="24"/>
        </w:rPr>
        <w:t>智能运维功能设计</w:t>
      </w:r>
      <w:bookmarkEnd w:id="47"/>
    </w:p>
    <w:p>
      <w:pPr>
        <w:pStyle w:val="6"/>
        <w:spacing w:line="360" w:lineRule="auto"/>
        <w:rPr>
          <w:rFonts w:ascii="黑体" w:hAnsi="黑体" w:cstheme="minorBidi"/>
          <w:szCs w:val="24"/>
        </w:rPr>
      </w:pPr>
      <w:bookmarkStart w:id="48" w:name="_Toc54343081"/>
      <w:r>
        <w:rPr>
          <w:rFonts w:hint="eastAsia"/>
          <w:szCs w:val="24"/>
        </w:rPr>
        <w:t>可视化</w:t>
      </w:r>
      <w:r>
        <w:rPr>
          <w:rFonts w:ascii="黑体" w:hAnsi="黑体" w:cstheme="minorBidi"/>
          <w:szCs w:val="24"/>
        </w:rPr>
        <w:t>监控中心</w:t>
      </w:r>
      <w:bookmarkEnd w:id="48"/>
    </w:p>
    <w:p>
      <w:pPr>
        <w:spacing w:line="360" w:lineRule="auto"/>
        <w:ind w:left="0" w:firstLine="420"/>
        <w:rPr>
          <w:sz w:val="24"/>
          <w:szCs w:val="24"/>
        </w:rPr>
      </w:pPr>
      <w:r>
        <w:rPr>
          <w:rFonts w:hint="eastAsia" w:ascii="微软雅黑" w:hAnsi="微软雅黑"/>
          <w:sz w:val="24"/>
          <w:szCs w:val="24"/>
        </w:rPr>
        <w:t>通</w:t>
      </w:r>
      <w:r>
        <w:rPr>
          <w:rFonts w:hint="eastAsia"/>
          <w:sz w:val="24"/>
          <w:szCs w:val="24"/>
        </w:rPr>
        <w:t>常而言，超融合设备和</w:t>
      </w:r>
      <w:r>
        <w:rPr>
          <w:sz w:val="24"/>
          <w:szCs w:val="24"/>
        </w:rPr>
        <w:t>系统</w:t>
      </w:r>
      <w:r>
        <w:rPr>
          <w:rFonts w:hint="eastAsia"/>
          <w:sz w:val="24"/>
          <w:szCs w:val="24"/>
        </w:rPr>
        <w:t>的运行状态往往容易被人忽视，只有当它引发了事故时才会被管理人员发觉。超融合应</w:t>
      </w:r>
      <w:r>
        <w:rPr>
          <w:sz w:val="24"/>
          <w:szCs w:val="24"/>
        </w:rPr>
        <w:t>支持</w:t>
      </w:r>
      <w:r>
        <w:rPr>
          <w:rFonts w:hint="eastAsia"/>
          <w:sz w:val="24"/>
          <w:szCs w:val="24"/>
        </w:rPr>
        <w:t>可视化监控中心功能，能够对超融合系统</w:t>
      </w:r>
      <w:r>
        <w:rPr>
          <w:sz w:val="24"/>
          <w:szCs w:val="24"/>
        </w:rPr>
        <w:t>状态</w:t>
      </w:r>
      <w:r>
        <w:rPr>
          <w:rFonts w:hint="eastAsia"/>
          <w:sz w:val="24"/>
          <w:szCs w:val="24"/>
        </w:rPr>
        <w:t>、</w:t>
      </w:r>
      <w:r>
        <w:rPr>
          <w:sz w:val="24"/>
          <w:szCs w:val="24"/>
        </w:rPr>
        <w:t>服务状态</w:t>
      </w:r>
      <w:r>
        <w:rPr>
          <w:rFonts w:hint="eastAsia"/>
          <w:sz w:val="24"/>
          <w:szCs w:val="24"/>
        </w:rPr>
        <w:t>和硬件运行</w:t>
      </w:r>
      <w:r>
        <w:rPr>
          <w:sz w:val="24"/>
          <w:szCs w:val="24"/>
        </w:rPr>
        <w:t>情况</w:t>
      </w:r>
      <w:r>
        <w:rPr>
          <w:rFonts w:hint="eastAsia"/>
          <w:sz w:val="24"/>
          <w:szCs w:val="24"/>
        </w:rPr>
        <w:t>进行实时</w:t>
      </w:r>
      <w:r>
        <w:rPr>
          <w:sz w:val="24"/>
          <w:szCs w:val="24"/>
        </w:rPr>
        <w:t>监控，实现“</w:t>
      </w:r>
      <w:r>
        <w:rPr>
          <w:rFonts w:hint="eastAsia"/>
          <w:sz w:val="24"/>
          <w:szCs w:val="24"/>
        </w:rPr>
        <w:t>全景式</w:t>
      </w:r>
      <w:r>
        <w:rPr>
          <w:sz w:val="24"/>
          <w:szCs w:val="24"/>
        </w:rPr>
        <w:t xml:space="preserve">” </w:t>
      </w:r>
      <w:r>
        <w:rPr>
          <w:rFonts w:hint="eastAsia"/>
          <w:sz w:val="24"/>
          <w:szCs w:val="24"/>
        </w:rPr>
        <w:t>运维，运维人员不必再逐个检查每台设备的硬件情况和平台运行状态，只需通过“服务全景图”</w:t>
      </w:r>
      <w:r>
        <w:rPr>
          <w:sz w:val="24"/>
          <w:szCs w:val="24"/>
        </w:rPr>
        <w:t xml:space="preserve"> </w:t>
      </w:r>
      <w:r>
        <w:rPr>
          <w:rFonts w:hint="eastAsia"/>
          <w:sz w:val="24"/>
          <w:szCs w:val="24"/>
        </w:rPr>
        <w:t>为入口，就能够直观的查看集群的整体运行情况，帮助管理人员及时/提前发现问题。</w:t>
      </w:r>
    </w:p>
    <w:p>
      <w:pPr>
        <w:spacing w:line="360" w:lineRule="auto"/>
        <w:ind w:left="0" w:firstLine="420"/>
        <w:rPr>
          <w:sz w:val="24"/>
          <w:szCs w:val="24"/>
        </w:rPr>
      </w:pPr>
      <w:r>
        <w:rPr>
          <w:rFonts w:hint="eastAsia"/>
          <w:sz w:val="24"/>
          <w:szCs w:val="24"/>
        </w:rPr>
        <w:t>可视化监控中心针对硬件故障类问题包括硬件可靠性、系统可靠性、服务可靠性三大模块, 是超融合系统</w:t>
      </w:r>
      <w:r>
        <w:rPr>
          <w:sz w:val="24"/>
          <w:szCs w:val="24"/>
        </w:rPr>
        <w:t>的</w:t>
      </w:r>
      <w:r>
        <w:rPr>
          <w:rFonts w:hint="eastAsia"/>
          <w:sz w:val="24"/>
          <w:szCs w:val="24"/>
        </w:rPr>
        <w:t>重要入口</w:t>
      </w:r>
      <w:r>
        <w:rPr>
          <w:sz w:val="24"/>
          <w:szCs w:val="24"/>
        </w:rPr>
        <w:t>服务</w:t>
      </w:r>
      <w:r>
        <w:rPr>
          <w:rFonts w:hint="eastAsia"/>
          <w:sz w:val="24"/>
          <w:szCs w:val="24"/>
        </w:rPr>
        <w:t>，实时</w:t>
      </w:r>
      <w:r>
        <w:rPr>
          <w:sz w:val="24"/>
          <w:szCs w:val="24"/>
        </w:rPr>
        <w:t>监控</w:t>
      </w:r>
      <w:r>
        <w:rPr>
          <w:rFonts w:hint="eastAsia"/>
          <w:sz w:val="24"/>
          <w:szCs w:val="24"/>
        </w:rPr>
        <w:t>功能确保用户业务连续性, 支撑用户关键业务上云，可视化监控中心实现超融合系统整体IO路径的可监控可维护性管理， 提供可视化、向导式、极简的运维方式，支持实时监控，硬件更换向导，高可靠</w:t>
      </w:r>
      <w:r>
        <w:rPr>
          <w:sz w:val="24"/>
          <w:szCs w:val="24"/>
        </w:rPr>
        <w:t>服务管理</w:t>
      </w:r>
      <w:r>
        <w:rPr>
          <w:rFonts w:hint="eastAsia"/>
          <w:sz w:val="24"/>
          <w:szCs w:val="24"/>
        </w:rPr>
        <w:t>，一键巡检等操作等等</w:t>
      </w:r>
      <w:r>
        <w:rPr>
          <w:sz w:val="24"/>
          <w:szCs w:val="24"/>
        </w:rPr>
        <w:t>能力</w:t>
      </w:r>
      <w:r>
        <w:rPr>
          <w:rFonts w:hint="eastAsia"/>
          <w:sz w:val="24"/>
          <w:szCs w:val="24"/>
        </w:rPr>
        <w:t>。用户只需通过可视化监控中心为入口，就能够直观的实时查看集群的整体运行状态。</w:t>
      </w:r>
    </w:p>
    <w:p>
      <w:pPr>
        <w:pStyle w:val="59"/>
        <w:spacing w:line="360" w:lineRule="auto"/>
        <w:rPr>
          <w:sz w:val="24"/>
          <w:szCs w:val="24"/>
        </w:rPr>
      </w:pPr>
      <w:r>
        <w:rPr>
          <w:rFonts w:hint="eastAsia"/>
          <w:sz w:val="24"/>
          <w:szCs w:val="24"/>
        </w:rPr>
        <w:drawing>
          <wp:inline distT="0" distB="0" distL="0" distR="0">
            <wp:extent cx="5274310" cy="3588385"/>
            <wp:effectExtent l="19050" t="0" r="78740" b="0"/>
            <wp:docPr id="16800" name="图示 1680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2" r:lo="rId33" r:qs="rId34" r:cs="rId35"/>
              </a:graphicData>
            </a:graphic>
          </wp:inline>
        </w:drawing>
      </w:r>
    </w:p>
    <w:p>
      <w:pPr>
        <w:pStyle w:val="51"/>
        <w:spacing w:line="360" w:lineRule="auto"/>
        <w:jc w:val="center"/>
        <w:rPr>
          <w:sz w:val="24"/>
          <w:szCs w:val="24"/>
        </w:rPr>
      </w:pPr>
      <w:r>
        <w:rPr>
          <w:rFonts w:hint="eastAsia"/>
          <w:sz w:val="24"/>
          <w:szCs w:val="24"/>
        </w:rPr>
        <w:t>可视化</w:t>
      </w:r>
      <w:r>
        <w:rPr>
          <w:sz w:val="24"/>
          <w:szCs w:val="24"/>
        </w:rPr>
        <w:t>监控</w:t>
      </w:r>
      <w:r>
        <w:rPr>
          <w:rFonts w:hint="eastAsia"/>
          <w:sz w:val="24"/>
          <w:szCs w:val="24"/>
        </w:rPr>
        <w:t>中心</w:t>
      </w:r>
      <w:r>
        <w:rPr>
          <w:sz w:val="24"/>
          <w:szCs w:val="24"/>
        </w:rPr>
        <w:t>拓扑图</w:t>
      </w:r>
    </w:p>
    <w:p>
      <w:pPr>
        <w:spacing w:line="360" w:lineRule="auto"/>
        <w:ind w:left="0" w:firstLine="420"/>
        <w:rPr>
          <w:sz w:val="24"/>
          <w:szCs w:val="24"/>
        </w:rPr>
      </w:pPr>
      <w:r>
        <w:rPr>
          <w:rFonts w:hint="eastAsia"/>
          <w:sz w:val="24"/>
          <w:szCs w:val="24"/>
        </w:rPr>
        <w:t>如上图</w:t>
      </w:r>
      <w:r>
        <w:rPr>
          <w:sz w:val="24"/>
          <w:szCs w:val="24"/>
        </w:rPr>
        <w:t>所示，</w:t>
      </w:r>
      <w:r>
        <w:rPr>
          <w:rFonts w:hint="eastAsia"/>
          <w:sz w:val="24"/>
          <w:szCs w:val="24"/>
        </w:rPr>
        <w:t>可视化监控中心提供可视化、极简的运维方式，管理人员可一键获取可靠性的资源和服务，了解平台的整体运行状况，并能够迅速定位到具体问题。</w:t>
      </w:r>
    </w:p>
    <w:p>
      <w:pPr>
        <w:spacing w:line="360" w:lineRule="auto"/>
        <w:ind w:left="0" w:firstLine="420"/>
        <w:rPr>
          <w:sz w:val="24"/>
          <w:szCs w:val="24"/>
        </w:rPr>
      </w:pPr>
      <w:r>
        <w:rPr>
          <w:rFonts w:hint="eastAsia"/>
          <w:sz w:val="24"/>
          <w:szCs w:val="24"/>
        </w:rPr>
        <w:t>通过分层的方式，实现展示超融合系统</w:t>
      </w:r>
      <w:r>
        <w:rPr>
          <w:sz w:val="24"/>
          <w:szCs w:val="24"/>
        </w:rPr>
        <w:t>整体</w:t>
      </w:r>
      <w:r>
        <w:rPr>
          <w:rFonts w:hint="eastAsia"/>
          <w:sz w:val="24"/>
          <w:szCs w:val="24"/>
        </w:rPr>
        <w:t>监控</w:t>
      </w:r>
      <w:r>
        <w:rPr>
          <w:sz w:val="24"/>
          <w:szCs w:val="24"/>
        </w:rPr>
        <w:t>信息</w:t>
      </w:r>
      <w:r>
        <w:rPr>
          <w:rFonts w:hint="eastAsia"/>
          <w:sz w:val="24"/>
          <w:szCs w:val="24"/>
        </w:rPr>
        <w:t>现状，可在全景图中直观的看到各个服务的配置及使用情况，并可深入调整配置，使管理员对整个数据中心的整体服务状态有直观的了解和掌握。基于一键巡检模式快速诊断站点的健康状态，为高效运维提供指导：</w:t>
      </w:r>
    </w:p>
    <w:p>
      <w:pPr>
        <w:pStyle w:val="70"/>
        <w:spacing w:after="80" w:line="360" w:lineRule="auto"/>
        <w:jc w:val="both"/>
        <w:rPr>
          <w:sz w:val="24"/>
          <w:szCs w:val="24"/>
          <w:lang w:eastAsia="zh-CN"/>
        </w:rPr>
      </w:pPr>
      <w:r>
        <w:rPr>
          <w:rFonts w:hint="eastAsia"/>
          <w:sz w:val="24"/>
          <w:szCs w:val="24"/>
          <w:lang w:eastAsia="zh-CN"/>
        </w:rPr>
        <w:t>硬件</w:t>
      </w:r>
      <w:r>
        <w:rPr>
          <w:sz w:val="24"/>
          <w:szCs w:val="24"/>
          <w:lang w:eastAsia="zh-CN"/>
        </w:rPr>
        <w:t>层服务包括：CPU、缓存、RAID卡、</w:t>
      </w:r>
      <w:r>
        <w:rPr>
          <w:rFonts w:hint="eastAsia"/>
          <w:sz w:val="24"/>
          <w:szCs w:val="24"/>
          <w:lang w:eastAsia="zh-CN"/>
        </w:rPr>
        <w:t>物理磁盘、逻辑磁盘、分布式</w:t>
      </w:r>
      <w:r>
        <w:rPr>
          <w:sz w:val="24"/>
          <w:szCs w:val="24"/>
          <w:lang w:eastAsia="zh-CN"/>
        </w:rPr>
        <w:t>存储</w:t>
      </w:r>
      <w:r>
        <w:rPr>
          <w:rFonts w:hint="eastAsia"/>
          <w:sz w:val="24"/>
          <w:szCs w:val="24"/>
          <w:lang w:eastAsia="zh-CN"/>
        </w:rPr>
        <w:t>资源</w:t>
      </w:r>
      <w:r>
        <w:rPr>
          <w:sz w:val="24"/>
          <w:szCs w:val="24"/>
          <w:lang w:eastAsia="zh-CN"/>
        </w:rPr>
        <w:t>利用率、网卡；</w:t>
      </w:r>
    </w:p>
    <w:p>
      <w:pPr>
        <w:pStyle w:val="70"/>
        <w:spacing w:after="80" w:line="360" w:lineRule="auto"/>
        <w:jc w:val="both"/>
        <w:rPr>
          <w:sz w:val="24"/>
          <w:szCs w:val="24"/>
          <w:lang w:eastAsia="zh-CN"/>
        </w:rPr>
      </w:pPr>
      <w:r>
        <w:rPr>
          <w:rFonts w:hint="eastAsia"/>
          <w:sz w:val="24"/>
          <w:szCs w:val="24"/>
          <w:lang w:eastAsia="zh-CN"/>
        </w:rPr>
        <w:t>系统</w:t>
      </w:r>
      <w:r>
        <w:rPr>
          <w:sz w:val="24"/>
          <w:szCs w:val="24"/>
          <w:lang w:eastAsia="zh-CN"/>
        </w:rPr>
        <w:t>层服务包括：管理</w:t>
      </w:r>
      <w:r>
        <w:rPr>
          <w:rFonts w:hint="eastAsia"/>
          <w:sz w:val="24"/>
          <w:szCs w:val="24"/>
          <w:lang w:eastAsia="zh-CN"/>
        </w:rPr>
        <w:t>主机</w:t>
      </w:r>
      <w:r>
        <w:rPr>
          <w:sz w:val="24"/>
          <w:szCs w:val="24"/>
          <w:lang w:eastAsia="zh-CN"/>
        </w:rPr>
        <w:t>集群状态、资源过载状态、网络配置状态、</w:t>
      </w:r>
      <w:r>
        <w:rPr>
          <w:rFonts w:hint="eastAsia"/>
          <w:sz w:val="24"/>
          <w:szCs w:val="24"/>
          <w:lang w:eastAsia="zh-CN"/>
        </w:rPr>
        <w:t>分布式</w:t>
      </w:r>
      <w:r>
        <w:rPr>
          <w:sz w:val="24"/>
          <w:szCs w:val="24"/>
          <w:lang w:eastAsia="zh-CN"/>
        </w:rPr>
        <w:t>存储集群状态、</w:t>
      </w:r>
      <w:r>
        <w:rPr>
          <w:rFonts w:hint="eastAsia"/>
          <w:sz w:val="24"/>
          <w:szCs w:val="24"/>
          <w:lang w:eastAsia="zh-CN"/>
        </w:rPr>
        <w:t>分布式</w:t>
      </w:r>
      <w:r>
        <w:rPr>
          <w:sz w:val="24"/>
          <w:szCs w:val="24"/>
          <w:lang w:eastAsia="zh-CN"/>
        </w:rPr>
        <w:t>存储数据池状态；</w:t>
      </w:r>
    </w:p>
    <w:p>
      <w:pPr>
        <w:pStyle w:val="70"/>
        <w:spacing w:after="80" w:line="360" w:lineRule="auto"/>
        <w:jc w:val="both"/>
        <w:rPr>
          <w:sz w:val="24"/>
          <w:szCs w:val="24"/>
          <w:lang w:eastAsia="zh-CN"/>
        </w:rPr>
      </w:pPr>
      <w:r>
        <w:rPr>
          <w:rFonts w:hint="eastAsia"/>
          <w:sz w:val="24"/>
          <w:szCs w:val="24"/>
          <w:lang w:eastAsia="zh-CN"/>
        </w:rPr>
        <w:t>服务</w:t>
      </w:r>
      <w:r>
        <w:rPr>
          <w:sz w:val="24"/>
          <w:szCs w:val="24"/>
          <w:lang w:eastAsia="zh-CN"/>
        </w:rPr>
        <w:t>层服务包括：</w:t>
      </w:r>
      <w:r>
        <w:rPr>
          <w:rFonts w:hint="eastAsia"/>
          <w:sz w:val="24"/>
          <w:szCs w:val="24"/>
          <w:lang w:eastAsia="zh-CN"/>
        </w:rPr>
        <w:t>虚拟机备份管理、业务</w:t>
      </w:r>
      <w:r>
        <w:rPr>
          <w:sz w:val="24"/>
          <w:szCs w:val="24"/>
          <w:lang w:eastAsia="zh-CN"/>
        </w:rPr>
        <w:t>容灾管理</w:t>
      </w:r>
      <w:r>
        <w:rPr>
          <w:rFonts w:hint="eastAsia"/>
          <w:sz w:val="24"/>
          <w:szCs w:val="24"/>
          <w:lang w:eastAsia="zh-CN"/>
        </w:rPr>
        <w:t>、动态资源调度（DRS）、集群高可靠（HA）、应用HA、虚拟机</w:t>
      </w:r>
      <w:r>
        <w:rPr>
          <w:sz w:val="24"/>
          <w:szCs w:val="24"/>
          <w:lang w:eastAsia="zh-CN"/>
        </w:rPr>
        <w:t>运行状态；</w:t>
      </w:r>
    </w:p>
    <w:p>
      <w:pPr>
        <w:pStyle w:val="70"/>
        <w:spacing w:after="80" w:line="360" w:lineRule="auto"/>
        <w:jc w:val="both"/>
        <w:rPr>
          <w:sz w:val="24"/>
          <w:szCs w:val="24"/>
          <w:lang w:eastAsia="zh-CN"/>
        </w:rPr>
      </w:pPr>
      <w:r>
        <w:rPr>
          <w:rFonts w:hint="eastAsia"/>
          <w:sz w:val="24"/>
          <w:szCs w:val="24"/>
          <w:lang w:eastAsia="zh-CN"/>
        </w:rPr>
        <w:t>一键巡检服务</w:t>
      </w:r>
      <w:r>
        <w:rPr>
          <w:sz w:val="24"/>
          <w:szCs w:val="24"/>
          <w:lang w:eastAsia="zh-CN"/>
        </w:rPr>
        <w:t>：</w:t>
      </w:r>
      <w:r>
        <w:rPr>
          <w:rFonts w:hint="eastAsia"/>
          <w:sz w:val="24"/>
          <w:szCs w:val="24"/>
          <w:lang w:eastAsia="zh-CN"/>
        </w:rPr>
        <w:t>集成健康</w:t>
      </w:r>
      <w:r>
        <w:rPr>
          <w:sz w:val="24"/>
          <w:szCs w:val="24"/>
          <w:lang w:eastAsia="zh-CN"/>
        </w:rPr>
        <w:t>检查</w:t>
      </w:r>
      <w:r>
        <w:rPr>
          <w:rFonts w:hint="eastAsia"/>
          <w:sz w:val="24"/>
          <w:szCs w:val="24"/>
          <w:lang w:eastAsia="zh-CN"/>
        </w:rPr>
        <w:t>能力，对超融合集群整体</w:t>
      </w:r>
      <w:r>
        <w:rPr>
          <w:sz w:val="24"/>
          <w:szCs w:val="24"/>
          <w:lang w:eastAsia="zh-CN"/>
        </w:rPr>
        <w:t>系统</w:t>
      </w:r>
      <w:r>
        <w:rPr>
          <w:rFonts w:hint="eastAsia"/>
          <w:sz w:val="24"/>
          <w:szCs w:val="24"/>
          <w:lang w:eastAsia="zh-CN"/>
        </w:rPr>
        <w:t>健康度进行“一键评估”。</w:t>
      </w:r>
    </w:p>
    <w:p>
      <w:pPr>
        <w:pStyle w:val="6"/>
        <w:rPr>
          <w:szCs w:val="24"/>
        </w:rPr>
      </w:pPr>
      <w:bookmarkStart w:id="49" w:name="_Toc54343082"/>
      <w:r>
        <w:rPr>
          <w:rFonts w:hint="eastAsia"/>
          <w:szCs w:val="24"/>
        </w:rPr>
        <w:t>应用</w:t>
      </w:r>
      <w:r>
        <w:rPr>
          <w:szCs w:val="24"/>
        </w:rPr>
        <w:t>监控</w:t>
      </w:r>
      <w:r>
        <w:rPr>
          <w:rFonts w:hint="eastAsia"/>
          <w:szCs w:val="24"/>
        </w:rPr>
        <w:t>分析</w:t>
      </w:r>
      <w:bookmarkEnd w:id="49"/>
    </w:p>
    <w:p>
      <w:pPr>
        <w:spacing w:line="360" w:lineRule="auto"/>
        <w:ind w:left="0" w:firstLine="420"/>
        <w:rPr>
          <w:sz w:val="24"/>
          <w:szCs w:val="24"/>
        </w:rPr>
      </w:pPr>
      <w:r>
        <w:rPr>
          <w:rFonts w:hint="eastAsia"/>
          <w:sz w:val="24"/>
          <w:szCs w:val="24"/>
        </w:rPr>
        <w:t>超融合系统支持从管理平台扩展应用监控分析功能，应用监控服务基于已预置的监控模板，提供应用的实时监控告警管理服务能力，包括主流操作系统（Windows、CentOS、RHEL、Ubuntu、SUSE等），数据库（MySQL、Oracle、Redis和MongoDB等），中间件（Tomcat、Apache、RabbitMQ等），Url、Ping站点和Kubernetes等应用监控，用户无需重新开发自定义脚本，并展示各类资源的健康状态和关键指标，提供资源分类汇总视图，统计各类资源的数量。</w:t>
      </w:r>
    </w:p>
    <w:p>
      <w:pPr>
        <w:spacing w:line="360" w:lineRule="auto"/>
        <w:ind w:left="0" w:firstLine="420"/>
        <w:rPr>
          <w:sz w:val="24"/>
          <w:szCs w:val="24"/>
        </w:rPr>
      </w:pPr>
      <w:r>
        <w:rPr>
          <w:rFonts w:hint="eastAsia"/>
          <w:sz w:val="24"/>
          <w:szCs w:val="24"/>
        </w:rPr>
        <w:t>应用</w:t>
      </w:r>
      <w:r>
        <w:rPr>
          <w:sz w:val="24"/>
          <w:szCs w:val="24"/>
        </w:rPr>
        <w:t>监控</w:t>
      </w:r>
      <w:r>
        <w:rPr>
          <w:rFonts w:hint="eastAsia"/>
          <w:sz w:val="24"/>
          <w:szCs w:val="24"/>
        </w:rPr>
        <w:t>服务</w:t>
      </w:r>
      <w:r>
        <w:rPr>
          <w:sz w:val="24"/>
          <w:szCs w:val="24"/>
        </w:rPr>
        <w:t>采集器</w:t>
      </w:r>
      <w:r>
        <w:rPr>
          <w:rFonts w:hint="eastAsia"/>
          <w:sz w:val="24"/>
          <w:szCs w:val="24"/>
        </w:rPr>
        <w:t>基于SNMP、WMI、SSH、JDBC、JMX等多种协议，通过远程连接的方式获取监控对象上的指标数据，不需要部署到监控对象上，减少了对监控对象的影响。</w:t>
      </w:r>
    </w:p>
    <w:p>
      <w:pPr>
        <w:spacing w:line="360" w:lineRule="auto"/>
        <w:ind w:left="0" w:firstLine="420"/>
        <w:rPr>
          <w:sz w:val="24"/>
          <w:szCs w:val="24"/>
        </w:rPr>
      </w:pPr>
      <w:r>
        <w:rPr>
          <w:rFonts w:hint="eastAsia"/>
          <w:sz w:val="24"/>
          <w:szCs w:val="24"/>
        </w:rPr>
        <w:t>应用</w:t>
      </w:r>
      <w:r>
        <w:rPr>
          <w:sz w:val="24"/>
          <w:szCs w:val="24"/>
        </w:rPr>
        <w:t>监控服务</w:t>
      </w:r>
      <w:r>
        <w:rPr>
          <w:rFonts w:hint="eastAsia"/>
          <w:sz w:val="24"/>
          <w:szCs w:val="24"/>
        </w:rPr>
        <w:t>支持的主要监控对象类型包括主流操作系统、数据库、中间件、应用服务器、容器集群、邮件服务、Web服务等应用。</w:t>
      </w:r>
    </w:p>
    <w:p>
      <w:pPr>
        <w:pStyle w:val="59"/>
        <w:spacing w:line="360" w:lineRule="auto"/>
        <w:jc w:val="center"/>
        <w:rPr>
          <w:sz w:val="24"/>
          <w:szCs w:val="24"/>
        </w:rPr>
      </w:pPr>
      <w:r>
        <w:rPr>
          <w:sz w:val="24"/>
          <w:szCs w:val="24"/>
        </w:rPr>
        <w:drawing>
          <wp:inline distT="0" distB="0" distL="0" distR="0">
            <wp:extent cx="5229225" cy="2106930"/>
            <wp:effectExtent l="0" t="0" r="0" b="7620"/>
            <wp:docPr id="552" name="图片 552" descr="C:\Users\y14121\Pictures\图片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 name="图片 552" descr="C:\Users\y14121\Pictures\图片1.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a:xfrm>
                      <a:off x="0" y="0"/>
                      <a:ext cx="5248626" cy="2114914"/>
                    </a:xfrm>
                    <a:prstGeom prst="rect">
                      <a:avLst/>
                    </a:prstGeom>
                    <a:noFill/>
                    <a:ln>
                      <a:noFill/>
                    </a:ln>
                  </pic:spPr>
                </pic:pic>
              </a:graphicData>
            </a:graphic>
          </wp:inline>
        </w:drawing>
      </w:r>
    </w:p>
    <w:p>
      <w:pPr>
        <w:pStyle w:val="51"/>
        <w:spacing w:line="360" w:lineRule="auto"/>
        <w:jc w:val="center"/>
        <w:rPr>
          <w:sz w:val="24"/>
          <w:szCs w:val="24"/>
        </w:rPr>
      </w:pPr>
      <w:bookmarkStart w:id="50" w:name="_Toc52291206"/>
      <w:r>
        <w:rPr>
          <w:rFonts w:hint="eastAsia"/>
          <w:sz w:val="24"/>
          <w:szCs w:val="24"/>
        </w:rPr>
        <w:t>应用</w:t>
      </w:r>
      <w:r>
        <w:rPr>
          <w:sz w:val="24"/>
          <w:szCs w:val="24"/>
        </w:rPr>
        <w:t>监控</w:t>
      </w:r>
      <w:r>
        <w:rPr>
          <w:rFonts w:hint="eastAsia"/>
          <w:sz w:val="24"/>
          <w:szCs w:val="24"/>
        </w:rPr>
        <w:t>支持</w:t>
      </w:r>
      <w:r>
        <w:rPr>
          <w:sz w:val="24"/>
          <w:szCs w:val="24"/>
        </w:rPr>
        <w:t>列表</w:t>
      </w:r>
      <w:bookmarkEnd w:id="50"/>
    </w:p>
    <w:p>
      <w:pPr>
        <w:pStyle w:val="6"/>
        <w:spacing w:line="360" w:lineRule="auto"/>
        <w:rPr>
          <w:szCs w:val="24"/>
        </w:rPr>
      </w:pPr>
      <w:bookmarkStart w:id="51" w:name="_Toc54343083"/>
      <w:r>
        <w:rPr>
          <w:rFonts w:hint="eastAsia"/>
          <w:szCs w:val="24"/>
        </w:rPr>
        <w:t>资源容量</w:t>
      </w:r>
      <w:r>
        <w:rPr>
          <w:szCs w:val="24"/>
        </w:rPr>
        <w:t>预测</w:t>
      </w:r>
      <w:r>
        <w:rPr>
          <w:rFonts w:hint="eastAsia"/>
          <w:szCs w:val="24"/>
        </w:rPr>
        <w:t>设计</w:t>
      </w:r>
      <w:bookmarkEnd w:id="51"/>
    </w:p>
    <w:p>
      <w:pPr>
        <w:spacing w:line="360" w:lineRule="auto"/>
        <w:ind w:left="0" w:firstLine="420"/>
        <w:rPr>
          <w:sz w:val="24"/>
          <w:szCs w:val="24"/>
        </w:rPr>
      </w:pPr>
      <w:r>
        <w:rPr>
          <w:rFonts w:hint="eastAsia"/>
          <w:sz w:val="24"/>
          <w:szCs w:val="24"/>
        </w:rPr>
        <w:t>超融合系统提供资源容量预测服务实现一体机的CPU、内存和存储容量智能预测，估算模块基于已采集到的磁盘、CPU和内存利用率的历史数据，结合时间序列模型算法做相关的数值概率预测分析，定量分析模块则基于历史定量数值和相关算法做验证，</w:t>
      </w:r>
      <w:r>
        <w:rPr>
          <w:sz w:val="24"/>
          <w:szCs w:val="24"/>
        </w:rPr>
        <w:t>从而</w:t>
      </w:r>
      <w:r>
        <w:rPr>
          <w:rFonts w:hint="eastAsia"/>
          <w:sz w:val="24"/>
          <w:szCs w:val="24"/>
        </w:rPr>
        <w:t>实现一体机的CPU、内存和存储容量的智能精准预测。</w:t>
      </w:r>
    </w:p>
    <w:p>
      <w:pPr>
        <w:pStyle w:val="70"/>
        <w:spacing w:after="80" w:line="360" w:lineRule="auto"/>
        <w:jc w:val="both"/>
        <w:rPr>
          <w:sz w:val="24"/>
          <w:szCs w:val="24"/>
          <w:lang w:eastAsia="zh-CN"/>
        </w:rPr>
      </w:pPr>
      <w:r>
        <w:rPr>
          <w:rFonts w:hint="eastAsia"/>
          <w:sz w:val="24"/>
          <w:szCs w:val="24"/>
          <w:lang w:eastAsia="zh-CN"/>
        </w:rPr>
        <w:t>可展示历史和预测数据连续性的数据全景图，帮助用户从时间维度和数据维度全面了解一体机资源的使用情况。</w:t>
      </w:r>
    </w:p>
    <w:p>
      <w:pPr>
        <w:pStyle w:val="70"/>
        <w:spacing w:after="80" w:line="360" w:lineRule="auto"/>
        <w:jc w:val="both"/>
        <w:rPr>
          <w:sz w:val="24"/>
          <w:szCs w:val="24"/>
          <w:lang w:eastAsia="zh-CN"/>
        </w:rPr>
      </w:pPr>
      <w:r>
        <w:rPr>
          <w:rFonts w:hint="eastAsia"/>
          <w:sz w:val="24"/>
          <w:szCs w:val="24"/>
          <w:lang w:eastAsia="zh-CN"/>
        </w:rPr>
        <w:t>支持呈现实时的CPU、内存和存储容量资源使用数据信息展示，并给出基于AI预测分析得到的预警时间点的提示，帮助用户做好资源扩容、成本预算和机器采购选型的准备。</w:t>
      </w:r>
    </w:p>
    <w:p>
      <w:pPr>
        <w:pStyle w:val="59"/>
        <w:spacing w:line="360" w:lineRule="auto"/>
        <w:rPr>
          <w:sz w:val="24"/>
          <w:szCs w:val="24"/>
        </w:rPr>
      </w:pPr>
      <w:r>
        <w:rPr>
          <w:sz w:val="24"/>
          <w:szCs w:val="24"/>
        </w:rPr>
        <w:drawing>
          <wp:inline distT="0" distB="0" distL="0" distR="0">
            <wp:extent cx="5381625" cy="2430145"/>
            <wp:effectExtent l="0" t="0" r="9525" b="825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38"/>
                    <a:stretch>
                      <a:fillRect/>
                    </a:stretch>
                  </pic:blipFill>
                  <pic:spPr>
                    <a:xfrm>
                      <a:off x="0" y="0"/>
                      <a:ext cx="5382595" cy="2430583"/>
                    </a:xfrm>
                    <a:prstGeom prst="rect">
                      <a:avLst/>
                    </a:prstGeom>
                  </pic:spPr>
                </pic:pic>
              </a:graphicData>
            </a:graphic>
          </wp:inline>
        </w:drawing>
      </w:r>
    </w:p>
    <w:p>
      <w:pPr>
        <w:pStyle w:val="51"/>
        <w:spacing w:line="360" w:lineRule="auto"/>
        <w:jc w:val="center"/>
        <w:rPr>
          <w:sz w:val="24"/>
          <w:szCs w:val="24"/>
        </w:rPr>
      </w:pPr>
      <w:r>
        <w:rPr>
          <w:rFonts w:hint="eastAsia"/>
          <w:sz w:val="24"/>
          <w:szCs w:val="24"/>
        </w:rPr>
        <w:t>资源</w:t>
      </w:r>
      <w:r>
        <w:rPr>
          <w:sz w:val="24"/>
          <w:szCs w:val="24"/>
        </w:rPr>
        <w:t>容量预测</w:t>
      </w:r>
      <w:r>
        <w:rPr>
          <w:rFonts w:hint="eastAsia"/>
          <w:sz w:val="24"/>
          <w:szCs w:val="24"/>
        </w:rPr>
        <w:t>技术</w:t>
      </w:r>
      <w:r>
        <w:rPr>
          <w:sz w:val="24"/>
          <w:szCs w:val="24"/>
        </w:rPr>
        <w:t>流程图</w:t>
      </w:r>
    </w:p>
    <w:p>
      <w:pPr>
        <w:pStyle w:val="4"/>
        <w:rPr>
          <w:sz w:val="24"/>
          <w:szCs w:val="24"/>
        </w:rPr>
      </w:pPr>
      <w:bookmarkStart w:id="52" w:name="_Toc54343096"/>
      <w:r>
        <w:rPr>
          <w:rFonts w:hint="eastAsia"/>
          <w:sz w:val="24"/>
          <w:szCs w:val="24"/>
        </w:rPr>
        <w:t>虚拟机设计</w:t>
      </w:r>
      <w:bookmarkEnd w:id="52"/>
    </w:p>
    <w:p>
      <w:pPr>
        <w:pStyle w:val="5"/>
        <w:rPr>
          <w:sz w:val="24"/>
          <w:szCs w:val="24"/>
        </w:rPr>
      </w:pPr>
      <w:bookmarkStart w:id="53" w:name="_Toc54343097"/>
      <w:r>
        <w:rPr>
          <w:rFonts w:hint="eastAsia"/>
          <w:sz w:val="24"/>
          <w:szCs w:val="24"/>
        </w:rPr>
        <w:t>虚拟机管理</w:t>
      </w:r>
      <w:r>
        <w:rPr>
          <w:sz w:val="24"/>
          <w:szCs w:val="24"/>
        </w:rPr>
        <w:t>设计</w:t>
      </w:r>
      <w:bookmarkEnd w:id="53"/>
    </w:p>
    <w:p>
      <w:pPr>
        <w:spacing w:line="360" w:lineRule="auto"/>
        <w:ind w:left="0" w:firstLine="420"/>
        <w:rPr>
          <w:sz w:val="24"/>
          <w:szCs w:val="24"/>
        </w:rPr>
      </w:pPr>
      <w:r>
        <w:rPr>
          <w:rFonts w:hint="eastAsia"/>
          <w:sz w:val="24"/>
          <w:szCs w:val="24"/>
        </w:rPr>
        <w:t>在超融合管理</w:t>
      </w:r>
      <w:r>
        <w:rPr>
          <w:sz w:val="24"/>
          <w:szCs w:val="24"/>
        </w:rPr>
        <w:t>软件</w:t>
      </w:r>
      <w:r>
        <w:rPr>
          <w:rFonts w:hint="eastAsia"/>
          <w:sz w:val="24"/>
          <w:szCs w:val="24"/>
        </w:rPr>
        <w:t>中完成虚拟机的创建后，可以根据实际需要对虚拟机的系统配置进行修改。在</w:t>
      </w:r>
      <w:r>
        <w:rPr>
          <w:sz w:val="24"/>
          <w:szCs w:val="24"/>
        </w:rPr>
        <w:t>基础功能</w:t>
      </w:r>
      <w:r>
        <w:rPr>
          <w:rFonts w:hint="eastAsia"/>
          <w:sz w:val="24"/>
          <w:szCs w:val="24"/>
        </w:rPr>
        <w:t>方面</w:t>
      </w:r>
      <w:r>
        <w:rPr>
          <w:sz w:val="24"/>
          <w:szCs w:val="24"/>
        </w:rPr>
        <w:t>，</w:t>
      </w:r>
      <w:r>
        <w:rPr>
          <w:rFonts w:hint="eastAsia"/>
          <w:sz w:val="24"/>
          <w:szCs w:val="24"/>
        </w:rPr>
        <w:t>超融合管理</w:t>
      </w:r>
      <w:r>
        <w:rPr>
          <w:sz w:val="24"/>
          <w:szCs w:val="24"/>
        </w:rPr>
        <w:t>软件</w:t>
      </w:r>
      <w:r>
        <w:rPr>
          <w:rFonts w:hint="eastAsia"/>
          <w:sz w:val="24"/>
          <w:szCs w:val="24"/>
        </w:rPr>
        <w:t>应</w:t>
      </w:r>
      <w:r>
        <w:rPr>
          <w:sz w:val="24"/>
          <w:szCs w:val="24"/>
        </w:rPr>
        <w:t>支持</w:t>
      </w:r>
      <w:r>
        <w:rPr>
          <w:rFonts w:hint="eastAsia"/>
          <w:sz w:val="24"/>
          <w:szCs w:val="24"/>
        </w:rPr>
        <w:t>如调整虚拟机的CPU数量，内存大小，增加或删除网卡、磁盘、显卡或PCI设备等；可以对虚拟机进行迁移，以达到系统运行最优化的目的；还可以对虚拟机进行快照或备份，保证数据的安全。系统中的虚拟机支持卡片和列表两种显示方式。无论哪种方式，都支持一次选择多个虚拟机进行批量操作，包括批量启动、关闭、删除等操作。在功能</w:t>
      </w:r>
      <w:r>
        <w:rPr>
          <w:sz w:val="24"/>
          <w:szCs w:val="24"/>
        </w:rPr>
        <w:t>增强方面，</w:t>
      </w:r>
      <w:r>
        <w:rPr>
          <w:rFonts w:hint="eastAsia"/>
          <w:sz w:val="24"/>
          <w:szCs w:val="24"/>
        </w:rPr>
        <w:t>超融合管理</w:t>
      </w:r>
      <w:r>
        <w:rPr>
          <w:sz w:val="24"/>
          <w:szCs w:val="24"/>
        </w:rPr>
        <w:t>软件虚拟机管理应支持如下</w:t>
      </w:r>
      <w:r>
        <w:rPr>
          <w:rFonts w:hint="eastAsia"/>
          <w:sz w:val="24"/>
          <w:szCs w:val="24"/>
        </w:rPr>
        <w:t>更多详细</w:t>
      </w:r>
      <w:r>
        <w:rPr>
          <w:sz w:val="24"/>
          <w:szCs w:val="24"/>
        </w:rPr>
        <w:t>功能：</w:t>
      </w:r>
    </w:p>
    <w:p>
      <w:pPr>
        <w:pStyle w:val="129"/>
        <w:numPr>
          <w:ilvl w:val="0"/>
          <w:numId w:val="26"/>
        </w:numPr>
        <w:spacing w:line="360" w:lineRule="auto"/>
        <w:ind w:firstLineChars="0"/>
        <w:rPr>
          <w:sz w:val="24"/>
          <w:szCs w:val="24"/>
        </w:rPr>
      </w:pPr>
      <w:r>
        <w:rPr>
          <w:rFonts w:hint="eastAsia"/>
          <w:sz w:val="24"/>
          <w:szCs w:val="24"/>
        </w:rPr>
        <w:t>在超融合管理软件</w:t>
      </w:r>
      <w:r>
        <w:rPr>
          <w:sz w:val="24"/>
          <w:szCs w:val="24"/>
        </w:rPr>
        <w:t>上</w:t>
      </w:r>
      <w:r>
        <w:rPr>
          <w:rFonts w:hint="eastAsia"/>
          <w:sz w:val="24"/>
          <w:szCs w:val="24"/>
        </w:rPr>
        <w:t>提供虚拟机启动、暂停、恢复、休眠、重启、关闭、克隆、迁移、删除、快照等功能的批量操作。</w:t>
      </w:r>
    </w:p>
    <w:p>
      <w:pPr>
        <w:pStyle w:val="129"/>
        <w:numPr>
          <w:ilvl w:val="0"/>
          <w:numId w:val="26"/>
        </w:numPr>
        <w:spacing w:line="360" w:lineRule="auto"/>
        <w:ind w:firstLineChars="0"/>
        <w:rPr>
          <w:sz w:val="24"/>
          <w:szCs w:val="24"/>
        </w:rPr>
      </w:pPr>
      <w:r>
        <w:rPr>
          <w:rFonts w:hint="eastAsia"/>
          <w:sz w:val="24"/>
          <w:szCs w:val="24"/>
        </w:rPr>
        <w:t>超融合</w:t>
      </w:r>
      <w:r>
        <w:rPr>
          <w:sz w:val="24"/>
          <w:szCs w:val="24"/>
        </w:rPr>
        <w:t>管理软件</w:t>
      </w:r>
      <w:r>
        <w:rPr>
          <w:rFonts w:hint="eastAsia"/>
          <w:sz w:val="24"/>
          <w:szCs w:val="24"/>
        </w:rPr>
        <w:t>提供热添加CPU、内存、磁盘、网卡的功能，无需中断或停机即可实现虚拟资源的在线添加。</w:t>
      </w:r>
    </w:p>
    <w:p>
      <w:pPr>
        <w:pStyle w:val="129"/>
        <w:numPr>
          <w:ilvl w:val="0"/>
          <w:numId w:val="26"/>
        </w:numPr>
        <w:spacing w:line="360" w:lineRule="auto"/>
        <w:ind w:firstLineChars="0"/>
        <w:rPr>
          <w:sz w:val="24"/>
          <w:szCs w:val="24"/>
        </w:rPr>
      </w:pPr>
      <w:r>
        <w:rPr>
          <w:rFonts w:hint="eastAsia"/>
          <w:sz w:val="24"/>
          <w:szCs w:val="24"/>
        </w:rPr>
        <w:t>虚拟机</w:t>
      </w:r>
      <w:r>
        <w:rPr>
          <w:sz w:val="24"/>
          <w:szCs w:val="24"/>
        </w:rPr>
        <w:t>应</w:t>
      </w:r>
      <w:r>
        <w:rPr>
          <w:rFonts w:hint="eastAsia"/>
          <w:sz w:val="24"/>
          <w:szCs w:val="24"/>
        </w:rPr>
        <w:t>支持工具程序（tools）对虚拟机的控制与状态监控，需要在虚拟机上额外安装一个工具程序（tools），该工具程序在Windows中表现为一个服务，在Linux中表现为一个守护进程，与超融合</w:t>
      </w:r>
      <w:r>
        <w:rPr>
          <w:sz w:val="24"/>
          <w:szCs w:val="24"/>
        </w:rPr>
        <w:t>管理软件</w:t>
      </w:r>
      <w:r>
        <w:rPr>
          <w:rFonts w:hint="eastAsia"/>
          <w:sz w:val="24"/>
          <w:szCs w:val="24"/>
        </w:rPr>
        <w:t>通过libvirtd进行通信，该工具支持通过虚拟串口通道保持与超融合计算</w:t>
      </w:r>
      <w:r>
        <w:rPr>
          <w:sz w:val="24"/>
          <w:szCs w:val="24"/>
        </w:rPr>
        <w:t>节点</w:t>
      </w:r>
      <w:r>
        <w:rPr>
          <w:rFonts w:hint="eastAsia"/>
          <w:sz w:val="24"/>
          <w:szCs w:val="24"/>
        </w:rPr>
        <w:t>虚拟化内核系统的实时通信，可判定虚拟机和</w:t>
      </w:r>
      <w:r>
        <w:rPr>
          <w:sz w:val="24"/>
          <w:szCs w:val="24"/>
        </w:rPr>
        <w:t>业务</w:t>
      </w:r>
      <w:r>
        <w:rPr>
          <w:rFonts w:hint="eastAsia"/>
          <w:sz w:val="24"/>
          <w:szCs w:val="24"/>
        </w:rPr>
        <w:t>服务</w:t>
      </w:r>
      <w:r>
        <w:rPr>
          <w:sz w:val="24"/>
          <w:szCs w:val="24"/>
        </w:rPr>
        <w:t>进程</w:t>
      </w:r>
      <w:r>
        <w:rPr>
          <w:rFonts w:hint="eastAsia"/>
          <w:sz w:val="24"/>
          <w:szCs w:val="24"/>
        </w:rPr>
        <w:t>的存活状态。</w:t>
      </w:r>
    </w:p>
    <w:p>
      <w:pPr>
        <w:pStyle w:val="129"/>
        <w:numPr>
          <w:ilvl w:val="0"/>
          <w:numId w:val="26"/>
        </w:numPr>
        <w:spacing w:line="360" w:lineRule="auto"/>
        <w:ind w:firstLineChars="0"/>
        <w:rPr>
          <w:sz w:val="24"/>
          <w:szCs w:val="24"/>
        </w:rPr>
      </w:pPr>
      <w:r>
        <w:rPr>
          <w:rFonts w:hint="eastAsia"/>
          <w:sz w:val="24"/>
          <w:szCs w:val="24"/>
        </w:rPr>
        <w:t>超融合</w:t>
      </w:r>
      <w:r>
        <w:rPr>
          <w:sz w:val="24"/>
          <w:szCs w:val="24"/>
        </w:rPr>
        <w:t>管理软件</w:t>
      </w:r>
      <w:r>
        <w:rPr>
          <w:rFonts w:hint="eastAsia"/>
          <w:sz w:val="24"/>
          <w:szCs w:val="24"/>
        </w:rPr>
        <w:t>支持查看虚拟机当前正在运行的程序、进程和服务，显示每个进程的用户名、进程ID、进程名、CPU利用率、内存利用率和内存使用量信息。</w:t>
      </w:r>
    </w:p>
    <w:p>
      <w:pPr>
        <w:pStyle w:val="129"/>
        <w:numPr>
          <w:ilvl w:val="0"/>
          <w:numId w:val="26"/>
        </w:numPr>
        <w:spacing w:line="360" w:lineRule="auto"/>
        <w:ind w:firstLineChars="0"/>
        <w:rPr>
          <w:sz w:val="24"/>
          <w:szCs w:val="24"/>
        </w:rPr>
      </w:pPr>
      <w:r>
        <w:rPr>
          <w:rFonts w:hint="eastAsia"/>
          <w:sz w:val="24"/>
          <w:szCs w:val="24"/>
        </w:rPr>
        <w:t>虚拟机</w:t>
      </w:r>
      <w:r>
        <w:rPr>
          <w:sz w:val="24"/>
          <w:szCs w:val="24"/>
        </w:rPr>
        <w:t>应</w:t>
      </w:r>
      <w:r>
        <w:rPr>
          <w:rFonts w:hint="eastAsia"/>
          <w:sz w:val="24"/>
          <w:szCs w:val="24"/>
        </w:rPr>
        <w:t>支持现有市场上主要国内外操作系统，包括Windows、CentOS、Fedora、RedHat、SUSE、Ubuntu、FreeBSD、MacOS、中标红旗、中标麒麟、中标普华、深度、一铭、凝思等。</w:t>
      </w:r>
    </w:p>
    <w:p>
      <w:pPr>
        <w:pStyle w:val="129"/>
        <w:numPr>
          <w:ilvl w:val="0"/>
          <w:numId w:val="26"/>
        </w:numPr>
        <w:spacing w:line="360" w:lineRule="auto"/>
        <w:ind w:firstLineChars="0"/>
        <w:rPr>
          <w:sz w:val="24"/>
          <w:szCs w:val="24"/>
        </w:rPr>
      </w:pPr>
      <w:r>
        <w:rPr>
          <w:rFonts w:hint="eastAsia"/>
          <w:sz w:val="24"/>
          <w:szCs w:val="24"/>
        </w:rPr>
        <w:t>虚拟机</w:t>
      </w:r>
      <w:r>
        <w:rPr>
          <w:sz w:val="24"/>
          <w:szCs w:val="24"/>
        </w:rPr>
        <w:t>磁盘</w:t>
      </w:r>
      <w:r>
        <w:rPr>
          <w:rFonts w:hint="eastAsia"/>
          <w:sz w:val="24"/>
          <w:szCs w:val="24"/>
        </w:rPr>
        <w:t>应</w:t>
      </w:r>
      <w:r>
        <w:rPr>
          <w:sz w:val="24"/>
          <w:szCs w:val="24"/>
        </w:rPr>
        <w:t>支持</w:t>
      </w:r>
      <w:r>
        <w:rPr>
          <w:rFonts w:hint="eastAsia"/>
          <w:sz w:val="24"/>
          <w:szCs w:val="24"/>
        </w:rPr>
        <w:t>配置</w:t>
      </w:r>
      <w:r>
        <w:rPr>
          <w:sz w:val="24"/>
          <w:szCs w:val="24"/>
        </w:rPr>
        <w:t>选择共享存储池，</w:t>
      </w:r>
      <w:r>
        <w:rPr>
          <w:rFonts w:hint="eastAsia"/>
          <w:sz w:val="24"/>
          <w:szCs w:val="24"/>
        </w:rPr>
        <w:t>包括RBD块</w:t>
      </w:r>
      <w:r>
        <w:rPr>
          <w:sz w:val="24"/>
          <w:szCs w:val="24"/>
        </w:rPr>
        <w:t>存储、</w:t>
      </w:r>
      <w:r>
        <w:rPr>
          <w:rFonts w:hint="eastAsia"/>
          <w:sz w:val="24"/>
          <w:szCs w:val="24"/>
        </w:rPr>
        <w:t>NFS网络</w:t>
      </w:r>
      <w:r>
        <w:rPr>
          <w:sz w:val="24"/>
          <w:szCs w:val="24"/>
        </w:rPr>
        <w:t>文件系统、iSCSI</w:t>
      </w:r>
      <w:r>
        <w:rPr>
          <w:rFonts w:hint="eastAsia"/>
          <w:sz w:val="24"/>
          <w:szCs w:val="24"/>
        </w:rPr>
        <w:t>网络</w:t>
      </w:r>
      <w:r>
        <w:rPr>
          <w:sz w:val="24"/>
          <w:szCs w:val="24"/>
        </w:rPr>
        <w:t>存储</w:t>
      </w:r>
      <w:r>
        <w:rPr>
          <w:rFonts w:hint="eastAsia"/>
          <w:sz w:val="24"/>
          <w:szCs w:val="24"/>
        </w:rPr>
        <w:t>/FC网络</w:t>
      </w:r>
      <w:r>
        <w:rPr>
          <w:sz w:val="24"/>
          <w:szCs w:val="24"/>
        </w:rPr>
        <w:t>存储</w:t>
      </w:r>
      <w:r>
        <w:rPr>
          <w:rFonts w:hint="eastAsia"/>
          <w:sz w:val="24"/>
          <w:szCs w:val="24"/>
        </w:rPr>
        <w:t>、</w:t>
      </w:r>
      <w:r>
        <w:rPr>
          <w:sz w:val="24"/>
          <w:szCs w:val="24"/>
        </w:rPr>
        <w:t>共享文件系统</w:t>
      </w:r>
      <w:r>
        <w:rPr>
          <w:rFonts w:hint="eastAsia"/>
          <w:sz w:val="24"/>
          <w:szCs w:val="24"/>
        </w:rPr>
        <w:t>等。</w:t>
      </w:r>
    </w:p>
    <w:p>
      <w:pPr>
        <w:pStyle w:val="129"/>
        <w:numPr>
          <w:ilvl w:val="0"/>
          <w:numId w:val="26"/>
        </w:numPr>
        <w:spacing w:line="360" w:lineRule="auto"/>
        <w:ind w:firstLineChars="0"/>
        <w:rPr>
          <w:sz w:val="24"/>
          <w:szCs w:val="24"/>
        </w:rPr>
      </w:pPr>
      <w:r>
        <w:rPr>
          <w:rFonts w:hint="eastAsia"/>
          <w:sz w:val="24"/>
          <w:szCs w:val="24"/>
        </w:rPr>
        <w:t>超融合</w:t>
      </w:r>
      <w:r>
        <w:rPr>
          <w:sz w:val="24"/>
          <w:szCs w:val="24"/>
        </w:rPr>
        <w:t>管理软件</w:t>
      </w:r>
      <w:r>
        <w:rPr>
          <w:rFonts w:hint="eastAsia"/>
          <w:sz w:val="24"/>
          <w:szCs w:val="24"/>
        </w:rPr>
        <w:t>支持批量修改虚拟机的配置参数，包括：I/O优先级、启动优先级、是否自动迁移、CPU调度优先级、CPU个数、内存大小、自动启动、VM启动设备、启用VNC代理、驱动工具自动升级等。</w:t>
      </w:r>
    </w:p>
    <w:p>
      <w:pPr>
        <w:pStyle w:val="129"/>
        <w:numPr>
          <w:ilvl w:val="0"/>
          <w:numId w:val="26"/>
        </w:numPr>
        <w:spacing w:line="360" w:lineRule="auto"/>
        <w:ind w:firstLineChars="0"/>
        <w:rPr>
          <w:sz w:val="24"/>
          <w:szCs w:val="24"/>
        </w:rPr>
      </w:pPr>
      <w:r>
        <w:rPr>
          <w:rFonts w:hint="eastAsia"/>
          <w:sz w:val="24"/>
          <w:szCs w:val="24"/>
        </w:rPr>
        <w:t>超融合</w:t>
      </w:r>
      <w:r>
        <w:rPr>
          <w:sz w:val="24"/>
          <w:szCs w:val="24"/>
        </w:rPr>
        <w:t>管理软件</w:t>
      </w:r>
      <w:r>
        <w:rPr>
          <w:rFonts w:hint="eastAsia"/>
          <w:sz w:val="24"/>
          <w:szCs w:val="24"/>
        </w:rPr>
        <w:t>提供虚拟机回收站功能，统一管理被删除的虚拟机，防止因虚拟机误删除导致数据丢失，支持设置回收站文件保存周期，超期的文件将被自动删除；</w:t>
      </w:r>
    </w:p>
    <w:p>
      <w:pPr>
        <w:pStyle w:val="129"/>
        <w:numPr>
          <w:ilvl w:val="0"/>
          <w:numId w:val="26"/>
        </w:numPr>
        <w:spacing w:line="360" w:lineRule="auto"/>
        <w:ind w:firstLineChars="0"/>
        <w:rPr>
          <w:sz w:val="24"/>
          <w:szCs w:val="24"/>
        </w:rPr>
      </w:pPr>
      <w:r>
        <w:rPr>
          <w:rFonts w:hint="eastAsia"/>
          <w:sz w:val="24"/>
          <w:szCs w:val="24"/>
        </w:rPr>
        <w:t>超融合</w:t>
      </w:r>
      <w:r>
        <w:rPr>
          <w:sz w:val="24"/>
          <w:szCs w:val="24"/>
        </w:rPr>
        <w:t>管理软件</w:t>
      </w:r>
      <w:r>
        <w:rPr>
          <w:rFonts w:hint="eastAsia"/>
          <w:sz w:val="24"/>
          <w:szCs w:val="24"/>
        </w:rPr>
        <w:t>支持虚拟机的入方向、出方向、出入方向安全访问控制功能，可基于IP、MAC、端口号、时间段等设置访问规则。</w:t>
      </w:r>
    </w:p>
    <w:p>
      <w:pPr>
        <w:pStyle w:val="129"/>
        <w:numPr>
          <w:ilvl w:val="0"/>
          <w:numId w:val="26"/>
        </w:numPr>
        <w:spacing w:line="360" w:lineRule="auto"/>
        <w:ind w:firstLineChars="0"/>
        <w:rPr>
          <w:sz w:val="24"/>
          <w:szCs w:val="24"/>
        </w:rPr>
      </w:pPr>
      <w:r>
        <w:rPr>
          <w:rFonts w:hint="eastAsia"/>
          <w:sz w:val="24"/>
          <w:szCs w:val="24"/>
        </w:rPr>
        <w:t>超融合</w:t>
      </w:r>
      <w:r>
        <w:rPr>
          <w:sz w:val="24"/>
          <w:szCs w:val="24"/>
        </w:rPr>
        <w:t>管理软件</w:t>
      </w:r>
      <w:r>
        <w:rPr>
          <w:rFonts w:hint="eastAsia"/>
          <w:sz w:val="24"/>
          <w:szCs w:val="24"/>
        </w:rPr>
        <w:t>支持配置</w:t>
      </w:r>
      <w:r>
        <w:rPr>
          <w:sz w:val="24"/>
          <w:szCs w:val="24"/>
        </w:rPr>
        <w:t>实现</w:t>
      </w:r>
      <w:r>
        <w:rPr>
          <w:rFonts w:hint="eastAsia"/>
          <w:sz w:val="24"/>
          <w:szCs w:val="24"/>
        </w:rPr>
        <w:t>开启虚拟机防病毒配置可以降低虚拟机遭受病毒攻击的风险，实现对虚拟机的保护。</w:t>
      </w:r>
    </w:p>
    <w:p>
      <w:pPr>
        <w:pStyle w:val="129"/>
        <w:numPr>
          <w:ilvl w:val="0"/>
          <w:numId w:val="26"/>
        </w:numPr>
        <w:spacing w:line="360" w:lineRule="auto"/>
        <w:ind w:firstLineChars="0"/>
        <w:rPr>
          <w:sz w:val="24"/>
          <w:szCs w:val="24"/>
        </w:rPr>
      </w:pPr>
      <w:r>
        <w:rPr>
          <w:rFonts w:hint="eastAsia"/>
          <w:sz w:val="24"/>
          <w:szCs w:val="24"/>
        </w:rPr>
        <w:t>支持对虚拟机资源扩展和收缩策略的灵活配置，能够根据虚拟机CPU、内存、连接数、存储容量、磁盘IO等参数动态的克隆虚拟机或删除虚拟机以满足业务量大时使用多个虚拟机提供服务、业务量少时使用少量虚拟机提供服务”的业务需求，整个过程不需要人工干预。</w:t>
      </w:r>
    </w:p>
    <w:p>
      <w:pPr>
        <w:pStyle w:val="5"/>
        <w:spacing w:line="360" w:lineRule="auto"/>
        <w:rPr>
          <w:sz w:val="24"/>
          <w:szCs w:val="24"/>
        </w:rPr>
      </w:pPr>
      <w:bookmarkStart w:id="54" w:name="_Toc54343098"/>
      <w:r>
        <w:rPr>
          <w:rFonts w:hint="eastAsia"/>
          <w:sz w:val="24"/>
          <w:szCs w:val="24"/>
        </w:rPr>
        <w:t>虚拟机模板</w:t>
      </w:r>
      <w:bookmarkEnd w:id="54"/>
    </w:p>
    <w:p>
      <w:pPr>
        <w:spacing w:line="360" w:lineRule="auto"/>
        <w:ind w:left="0" w:firstLine="420"/>
        <w:rPr>
          <w:sz w:val="24"/>
          <w:szCs w:val="24"/>
        </w:rPr>
      </w:pPr>
      <w:r>
        <w:rPr>
          <w:rFonts w:hint="eastAsia"/>
          <w:sz w:val="24"/>
          <w:szCs w:val="24"/>
        </w:rPr>
        <w:t>虚拟机模板是虚拟机操作系统、应用软件和配置文件的集合。超融合</w:t>
      </w:r>
      <w:r>
        <w:rPr>
          <w:sz w:val="24"/>
          <w:szCs w:val="24"/>
        </w:rPr>
        <w:t>管理软件</w:t>
      </w:r>
      <w:r>
        <w:rPr>
          <w:rFonts w:hint="eastAsia"/>
          <w:sz w:val="24"/>
          <w:szCs w:val="24"/>
        </w:rPr>
        <w:t>应支持通过虚拟机模板，可批量创建多个软硬件规格相同的虚拟机，避免手工创建虚拟机过程中的繁琐配置和出错概率。虚拟机</w:t>
      </w:r>
      <w:r>
        <w:rPr>
          <w:sz w:val="24"/>
          <w:szCs w:val="24"/>
        </w:rPr>
        <w:t>模板应支持</w:t>
      </w:r>
      <w:r>
        <w:rPr>
          <w:rFonts w:hint="eastAsia"/>
          <w:sz w:val="24"/>
          <w:szCs w:val="24"/>
        </w:rPr>
        <w:t>如下</w:t>
      </w:r>
      <w:r>
        <w:rPr>
          <w:sz w:val="24"/>
          <w:szCs w:val="24"/>
        </w:rPr>
        <w:t>操作功能：</w:t>
      </w:r>
    </w:p>
    <w:p>
      <w:pPr>
        <w:pStyle w:val="129"/>
        <w:numPr>
          <w:ilvl w:val="0"/>
          <w:numId w:val="26"/>
        </w:numPr>
        <w:spacing w:line="360" w:lineRule="auto"/>
        <w:ind w:firstLineChars="0"/>
        <w:rPr>
          <w:sz w:val="24"/>
          <w:szCs w:val="24"/>
        </w:rPr>
      </w:pPr>
      <w:r>
        <w:rPr>
          <w:rFonts w:hint="eastAsia"/>
          <w:sz w:val="24"/>
          <w:szCs w:val="24"/>
        </w:rPr>
        <w:t>部署虚拟机：通过虚拟机模板来创建新的虚拟机。通过虚拟机模板部署的虚拟机与模板具有相同的操作系统和应用程序。</w:t>
      </w:r>
    </w:p>
    <w:p>
      <w:pPr>
        <w:pStyle w:val="129"/>
        <w:numPr>
          <w:ilvl w:val="0"/>
          <w:numId w:val="26"/>
        </w:numPr>
        <w:spacing w:line="360" w:lineRule="auto"/>
        <w:ind w:firstLineChars="0"/>
        <w:rPr>
          <w:sz w:val="24"/>
          <w:szCs w:val="24"/>
        </w:rPr>
      </w:pPr>
      <w:r>
        <w:rPr>
          <w:rFonts w:hint="eastAsia"/>
          <w:sz w:val="24"/>
          <w:szCs w:val="24"/>
        </w:rPr>
        <w:t>分发虚拟机模板：将虚拟机模板下发到目的主机的目的存储池中。</w:t>
      </w:r>
    </w:p>
    <w:p>
      <w:pPr>
        <w:pStyle w:val="129"/>
        <w:numPr>
          <w:ilvl w:val="0"/>
          <w:numId w:val="26"/>
        </w:numPr>
        <w:spacing w:line="360" w:lineRule="auto"/>
        <w:ind w:firstLineChars="0"/>
        <w:rPr>
          <w:sz w:val="24"/>
          <w:szCs w:val="24"/>
        </w:rPr>
      </w:pPr>
      <w:r>
        <w:rPr>
          <w:rFonts w:hint="eastAsia"/>
          <w:sz w:val="24"/>
          <w:szCs w:val="24"/>
        </w:rPr>
        <w:t>下载虚拟机模板：将虚拟机模板下载到本地。下载的虚拟机模板其压缩包的文件格式为</w:t>
      </w:r>
      <w:r>
        <w:rPr>
          <w:sz w:val="24"/>
          <w:szCs w:val="24"/>
        </w:rPr>
        <w:t>.tar.gz</w:t>
      </w:r>
      <w:r>
        <w:rPr>
          <w:rFonts w:hint="eastAsia"/>
          <w:sz w:val="24"/>
          <w:szCs w:val="24"/>
        </w:rPr>
        <w:t>。</w:t>
      </w:r>
    </w:p>
    <w:p>
      <w:pPr>
        <w:pStyle w:val="129"/>
        <w:numPr>
          <w:ilvl w:val="0"/>
          <w:numId w:val="26"/>
        </w:numPr>
        <w:spacing w:line="360" w:lineRule="auto"/>
        <w:ind w:firstLineChars="0"/>
        <w:rPr>
          <w:sz w:val="24"/>
          <w:szCs w:val="24"/>
        </w:rPr>
      </w:pPr>
      <w:r>
        <w:rPr>
          <w:rFonts w:hint="eastAsia"/>
          <w:sz w:val="24"/>
          <w:szCs w:val="24"/>
        </w:rPr>
        <w:t>完整性校验和来源追溯：完整性校验是指虚拟机模板文件的</w:t>
      </w:r>
      <w:r>
        <w:rPr>
          <w:sz w:val="24"/>
          <w:szCs w:val="24"/>
        </w:rPr>
        <w:t>CRC</w:t>
      </w:r>
      <w:r>
        <w:rPr>
          <w:rFonts w:hint="eastAsia"/>
          <w:sz w:val="24"/>
          <w:szCs w:val="24"/>
        </w:rPr>
        <w:t>校验，防止虚拟机模板在拷贝或传输过程中的篡改。来源追溯是指对虚拟机模板的来源和制作者进行记录，避免大量虚拟机模板带来的管理混乱问题。</w:t>
      </w:r>
    </w:p>
    <w:p>
      <w:pPr>
        <w:pStyle w:val="129"/>
        <w:numPr>
          <w:ilvl w:val="0"/>
          <w:numId w:val="26"/>
        </w:numPr>
        <w:spacing w:line="360" w:lineRule="auto"/>
        <w:ind w:firstLineChars="0"/>
        <w:rPr>
          <w:sz w:val="24"/>
          <w:szCs w:val="24"/>
        </w:rPr>
      </w:pPr>
      <w:r>
        <w:rPr>
          <w:rFonts w:hint="eastAsia"/>
          <w:sz w:val="24"/>
          <w:szCs w:val="24"/>
        </w:rPr>
        <w:t>修改虚拟机模板：修改虚拟机模板的配置信息，包括</w:t>
      </w:r>
      <w:r>
        <w:rPr>
          <w:sz w:val="24"/>
          <w:szCs w:val="24"/>
        </w:rPr>
        <w:t>CPU</w:t>
      </w:r>
      <w:r>
        <w:rPr>
          <w:rFonts w:hint="eastAsia"/>
          <w:sz w:val="24"/>
          <w:szCs w:val="24"/>
        </w:rPr>
        <w:t>个数与核数、内存容量、存储卷名称和容量。若已基于虚拟机模板快速部署了虚拟机，则不允许修改虚拟机模板的名称与存储容量。</w:t>
      </w:r>
    </w:p>
    <w:p>
      <w:pPr>
        <w:pStyle w:val="129"/>
        <w:numPr>
          <w:ilvl w:val="0"/>
          <w:numId w:val="26"/>
        </w:numPr>
        <w:spacing w:line="360" w:lineRule="auto"/>
        <w:ind w:firstLineChars="0"/>
        <w:rPr>
          <w:sz w:val="24"/>
          <w:szCs w:val="24"/>
        </w:rPr>
      </w:pPr>
      <w:r>
        <w:rPr>
          <w:rFonts w:hint="eastAsia"/>
          <w:sz w:val="24"/>
          <w:szCs w:val="24"/>
        </w:rPr>
        <w:t>删除虚拟机模板：删除虚拟机模板。若已基于虚拟机模板快速部署了虚拟机，则删除虚拟机模板时，模板文件将不被删除，继续保留在存储中。</w:t>
      </w:r>
    </w:p>
    <w:p>
      <w:pPr>
        <w:pStyle w:val="129"/>
        <w:numPr>
          <w:ilvl w:val="0"/>
          <w:numId w:val="26"/>
        </w:numPr>
        <w:spacing w:line="360" w:lineRule="auto"/>
        <w:ind w:firstLineChars="0"/>
        <w:rPr>
          <w:sz w:val="24"/>
          <w:szCs w:val="24"/>
        </w:rPr>
      </w:pPr>
      <w:r>
        <w:rPr>
          <w:rFonts w:hint="eastAsia"/>
          <w:sz w:val="24"/>
          <w:szCs w:val="24"/>
        </w:rPr>
        <w:t>导入虚拟机模板：将虚拟机模板的压缩包（</w:t>
      </w:r>
      <w:r>
        <w:rPr>
          <w:sz w:val="24"/>
          <w:szCs w:val="24"/>
        </w:rPr>
        <w:t>.tar.gz</w:t>
      </w:r>
      <w:r>
        <w:rPr>
          <w:rFonts w:hint="eastAsia"/>
          <w:sz w:val="24"/>
          <w:szCs w:val="24"/>
        </w:rPr>
        <w:t>格式）导入到超融合</w:t>
      </w:r>
      <w:r>
        <w:rPr>
          <w:sz w:val="24"/>
          <w:szCs w:val="24"/>
        </w:rPr>
        <w:t>管理软件</w:t>
      </w:r>
      <w:r>
        <w:rPr>
          <w:rFonts w:hint="eastAsia"/>
          <w:sz w:val="24"/>
          <w:szCs w:val="24"/>
        </w:rPr>
        <w:t>中。该功能只能导入通过超融合</w:t>
      </w:r>
      <w:r>
        <w:rPr>
          <w:sz w:val="24"/>
          <w:szCs w:val="24"/>
        </w:rPr>
        <w:t>管理软件</w:t>
      </w:r>
      <w:r>
        <w:rPr>
          <w:rFonts w:hint="eastAsia"/>
          <w:sz w:val="24"/>
          <w:szCs w:val="24"/>
        </w:rPr>
        <w:t>下载的虚拟机模板压缩包。对于超融合</w:t>
      </w:r>
      <w:r>
        <w:rPr>
          <w:sz w:val="24"/>
          <w:szCs w:val="24"/>
        </w:rPr>
        <w:t>管理软件</w:t>
      </w:r>
      <w:r>
        <w:rPr>
          <w:rFonts w:hint="eastAsia"/>
          <w:sz w:val="24"/>
          <w:szCs w:val="24"/>
        </w:rPr>
        <w:t>已经存在的虚拟机模板，不支持重复导入。</w:t>
      </w:r>
    </w:p>
    <w:p>
      <w:pPr>
        <w:spacing w:line="360" w:lineRule="auto"/>
        <w:ind w:left="0" w:firstLine="420"/>
        <w:rPr>
          <w:sz w:val="24"/>
          <w:szCs w:val="24"/>
        </w:rPr>
      </w:pPr>
      <w:r>
        <w:rPr>
          <w:rFonts w:hint="eastAsia"/>
          <w:sz w:val="24"/>
          <w:szCs w:val="24"/>
        </w:rPr>
        <w:t>另一方面</w:t>
      </w:r>
      <w:r>
        <w:rPr>
          <w:sz w:val="24"/>
          <w:szCs w:val="24"/>
        </w:rPr>
        <w:t>，</w:t>
      </w:r>
      <w:r>
        <w:rPr>
          <w:rFonts w:hint="eastAsia"/>
          <w:sz w:val="24"/>
          <w:szCs w:val="24"/>
        </w:rPr>
        <w:t>虚拟机模板管理应支持模板存储管理，模板存储管理可</w:t>
      </w:r>
      <w:r>
        <w:rPr>
          <w:sz w:val="24"/>
          <w:szCs w:val="24"/>
        </w:rPr>
        <w:t>对</w:t>
      </w:r>
      <w:r>
        <w:rPr>
          <w:rFonts w:hint="eastAsia"/>
          <w:sz w:val="24"/>
          <w:szCs w:val="24"/>
        </w:rPr>
        <w:t>虚拟机模板存储路径的管理，主要包括增加模板存储、启动模板存储、暂停模板存储、删除模板存储、搜索虚拟机模板、查看模板存储等功能。</w:t>
      </w:r>
    </w:p>
    <w:p>
      <w:pPr>
        <w:pStyle w:val="5"/>
        <w:spacing w:line="360" w:lineRule="auto"/>
        <w:rPr>
          <w:sz w:val="24"/>
          <w:szCs w:val="24"/>
        </w:rPr>
      </w:pPr>
      <w:bookmarkStart w:id="55" w:name="_Toc54343099"/>
      <w:r>
        <w:rPr>
          <w:rFonts w:hint="eastAsia"/>
          <w:sz w:val="24"/>
          <w:szCs w:val="24"/>
        </w:rPr>
        <w:t>虚拟机迁移规划</w:t>
      </w:r>
      <w:bookmarkEnd w:id="55"/>
    </w:p>
    <w:p>
      <w:pPr>
        <w:spacing w:line="360" w:lineRule="auto"/>
        <w:ind w:left="0" w:firstLine="420"/>
        <w:rPr>
          <w:sz w:val="24"/>
          <w:szCs w:val="24"/>
        </w:rPr>
      </w:pPr>
      <w:r>
        <w:rPr>
          <w:rFonts w:hint="eastAsia"/>
          <w:sz w:val="24"/>
          <w:szCs w:val="24"/>
        </w:rPr>
        <w:t>虚拟机</w:t>
      </w:r>
      <w:r>
        <w:rPr>
          <w:sz w:val="24"/>
          <w:szCs w:val="24"/>
        </w:rPr>
        <w:t>迁移支持超融合内</w:t>
      </w:r>
      <w:r>
        <w:rPr>
          <w:rFonts w:hint="eastAsia"/>
          <w:sz w:val="24"/>
          <w:szCs w:val="24"/>
        </w:rPr>
        <w:t>VM</w:t>
      </w:r>
      <w:r>
        <w:rPr>
          <w:sz w:val="24"/>
          <w:szCs w:val="24"/>
        </w:rPr>
        <w:t>迁移和</w:t>
      </w:r>
      <w:r>
        <w:rPr>
          <w:rFonts w:hint="eastAsia"/>
          <w:sz w:val="24"/>
          <w:szCs w:val="24"/>
        </w:rPr>
        <w:t>跨</w:t>
      </w:r>
      <w:r>
        <w:rPr>
          <w:sz w:val="24"/>
          <w:szCs w:val="24"/>
        </w:rPr>
        <w:t>平台</w:t>
      </w:r>
      <w:r>
        <w:rPr>
          <w:rFonts w:hint="eastAsia"/>
          <w:sz w:val="24"/>
          <w:szCs w:val="24"/>
        </w:rPr>
        <w:t>VM</w:t>
      </w:r>
      <w:r>
        <w:rPr>
          <w:sz w:val="24"/>
          <w:szCs w:val="24"/>
        </w:rPr>
        <w:t>迁移两种类型，超融合内</w:t>
      </w:r>
      <w:r>
        <w:rPr>
          <w:rFonts w:hint="eastAsia"/>
          <w:sz w:val="24"/>
          <w:szCs w:val="24"/>
        </w:rPr>
        <w:t>VM</w:t>
      </w:r>
      <w:r>
        <w:rPr>
          <w:sz w:val="24"/>
          <w:szCs w:val="24"/>
        </w:rPr>
        <w:t>迁移</w:t>
      </w:r>
      <w:r>
        <w:rPr>
          <w:rFonts w:hint="eastAsia"/>
          <w:sz w:val="24"/>
          <w:szCs w:val="24"/>
        </w:rPr>
        <w:t>是指更改虚拟机的运行载体，包括计算资源和存储资源：</w:t>
      </w:r>
    </w:p>
    <w:p>
      <w:pPr>
        <w:pStyle w:val="70"/>
        <w:spacing w:line="360" w:lineRule="auto"/>
        <w:rPr>
          <w:sz w:val="24"/>
          <w:szCs w:val="24"/>
          <w:lang w:eastAsia="zh-CN"/>
        </w:rPr>
      </w:pPr>
      <w:r>
        <w:rPr>
          <w:rFonts w:hint="eastAsia"/>
          <w:sz w:val="24"/>
          <w:szCs w:val="24"/>
          <w:lang w:eastAsia="zh-CN"/>
        </w:rPr>
        <w:t>更改</w:t>
      </w:r>
      <w:r>
        <w:rPr>
          <w:sz w:val="24"/>
          <w:szCs w:val="24"/>
          <w:lang w:eastAsia="zh-CN"/>
        </w:rPr>
        <w:t>主机：</w:t>
      </w:r>
      <w:r>
        <w:rPr>
          <w:rFonts w:hint="eastAsia"/>
          <w:sz w:val="24"/>
          <w:szCs w:val="24"/>
          <w:lang w:eastAsia="zh-CN"/>
        </w:rPr>
        <w:t>将虚拟机迁移到另一台主机，只有使用共享存储池的虚拟机，才允许以此方式迁移，且目的主机必须挂载该共享存储池。</w:t>
      </w:r>
    </w:p>
    <w:p>
      <w:pPr>
        <w:pStyle w:val="70"/>
        <w:spacing w:after="80" w:line="360" w:lineRule="auto"/>
        <w:jc w:val="both"/>
        <w:rPr>
          <w:sz w:val="24"/>
          <w:szCs w:val="24"/>
          <w:lang w:eastAsia="zh-CN"/>
        </w:rPr>
      </w:pPr>
      <w:r>
        <w:rPr>
          <w:rFonts w:hint="eastAsia"/>
          <w:sz w:val="24"/>
          <w:szCs w:val="24"/>
          <w:lang w:eastAsia="zh-CN"/>
        </w:rPr>
        <w:t>更改</w:t>
      </w:r>
      <w:r>
        <w:rPr>
          <w:sz w:val="24"/>
          <w:szCs w:val="24"/>
          <w:lang w:eastAsia="zh-CN"/>
        </w:rPr>
        <w:t>数据存储：</w:t>
      </w:r>
      <w:r>
        <w:rPr>
          <w:rFonts w:hint="eastAsia"/>
          <w:sz w:val="24"/>
          <w:szCs w:val="24"/>
          <w:lang w:eastAsia="zh-CN"/>
        </w:rPr>
        <w:t>将虚拟机的存储迁移到另一数据存储。</w:t>
      </w:r>
    </w:p>
    <w:p>
      <w:pPr>
        <w:pStyle w:val="70"/>
        <w:spacing w:line="360" w:lineRule="auto"/>
        <w:rPr>
          <w:sz w:val="24"/>
          <w:szCs w:val="24"/>
          <w:lang w:eastAsia="zh-CN"/>
        </w:rPr>
      </w:pPr>
      <w:r>
        <w:rPr>
          <w:rFonts w:hint="eastAsia"/>
          <w:sz w:val="24"/>
          <w:szCs w:val="24"/>
          <w:lang w:eastAsia="zh-CN"/>
        </w:rPr>
        <w:t>更改</w:t>
      </w:r>
      <w:r>
        <w:rPr>
          <w:sz w:val="24"/>
          <w:szCs w:val="24"/>
          <w:lang w:eastAsia="zh-CN"/>
        </w:rPr>
        <w:t>主机和数据存储：</w:t>
      </w:r>
      <w:r>
        <w:rPr>
          <w:rFonts w:hint="eastAsia"/>
          <w:sz w:val="24"/>
          <w:szCs w:val="24"/>
          <w:lang w:eastAsia="zh-CN"/>
        </w:rPr>
        <w:t>将虚拟机迁移到另一台主机，同时将其存储迁移到另一数据存储，目的主机可以是云资源中的任意一台主机。</w:t>
      </w:r>
    </w:p>
    <w:p>
      <w:pPr>
        <w:spacing w:line="360" w:lineRule="auto"/>
        <w:ind w:left="420"/>
        <w:rPr>
          <w:sz w:val="24"/>
          <w:szCs w:val="24"/>
        </w:rPr>
      </w:pPr>
      <w:r>
        <w:rPr>
          <w:rFonts w:hint="eastAsia"/>
          <w:sz w:val="24"/>
          <w:szCs w:val="24"/>
        </w:rPr>
        <w:t>另一方面</w:t>
      </w:r>
      <w:r>
        <w:rPr>
          <w:sz w:val="24"/>
          <w:szCs w:val="24"/>
        </w:rPr>
        <w:t>，</w:t>
      </w:r>
      <w:r>
        <w:rPr>
          <w:rFonts w:hint="eastAsia"/>
          <w:sz w:val="24"/>
          <w:szCs w:val="24"/>
        </w:rPr>
        <w:t>跨</w:t>
      </w:r>
      <w:r>
        <w:rPr>
          <w:sz w:val="24"/>
          <w:szCs w:val="24"/>
        </w:rPr>
        <w:t>平台</w:t>
      </w:r>
      <w:r>
        <w:rPr>
          <w:rFonts w:hint="eastAsia"/>
          <w:sz w:val="24"/>
          <w:szCs w:val="24"/>
        </w:rPr>
        <w:t>VM</w:t>
      </w:r>
      <w:r>
        <w:rPr>
          <w:sz w:val="24"/>
          <w:szCs w:val="24"/>
        </w:rPr>
        <w:t>迁移</w:t>
      </w:r>
      <w:r>
        <w:rPr>
          <w:rFonts w:hint="eastAsia"/>
          <w:sz w:val="24"/>
          <w:szCs w:val="24"/>
        </w:rPr>
        <w:t>应</w:t>
      </w:r>
      <w:r>
        <w:rPr>
          <w:sz w:val="24"/>
          <w:szCs w:val="24"/>
        </w:rPr>
        <w:t>分为</w:t>
      </w:r>
      <w:r>
        <w:rPr>
          <w:rFonts w:hint="eastAsia"/>
          <w:sz w:val="24"/>
          <w:szCs w:val="24"/>
        </w:rPr>
        <w:t>同构平台</w:t>
      </w:r>
      <w:r>
        <w:rPr>
          <w:sz w:val="24"/>
          <w:szCs w:val="24"/>
        </w:rPr>
        <w:t>迁移</w:t>
      </w:r>
      <w:r>
        <w:rPr>
          <w:rFonts w:hint="eastAsia"/>
          <w:sz w:val="24"/>
          <w:szCs w:val="24"/>
        </w:rPr>
        <w:t>和异构</w:t>
      </w:r>
      <w:r>
        <w:rPr>
          <w:sz w:val="24"/>
          <w:szCs w:val="24"/>
        </w:rPr>
        <w:t>平台迁移</w:t>
      </w:r>
      <w:r>
        <w:rPr>
          <w:rFonts w:hint="eastAsia"/>
          <w:sz w:val="24"/>
          <w:szCs w:val="24"/>
        </w:rPr>
        <w:t>：</w:t>
      </w:r>
    </w:p>
    <w:p>
      <w:pPr>
        <w:pStyle w:val="65"/>
        <w:numPr>
          <w:ilvl w:val="0"/>
          <w:numId w:val="27"/>
        </w:numPr>
        <w:spacing w:after="80" w:line="360" w:lineRule="auto"/>
        <w:jc w:val="both"/>
        <w:outlineLvl w:val="9"/>
        <w:rPr>
          <w:rFonts w:ascii="黑体" w:hAnsi="黑体" w:eastAsia="黑体" w:cstheme="minorBidi"/>
          <w:bCs/>
          <w:color w:val="800000"/>
          <w:sz w:val="24"/>
        </w:rPr>
      </w:pPr>
      <w:r>
        <w:rPr>
          <w:rFonts w:hint="eastAsia" w:ascii="黑体" w:hAnsi="黑体" w:eastAsia="黑体" w:cstheme="minorBidi"/>
          <w:bCs/>
          <w:color w:val="800000"/>
          <w:sz w:val="24"/>
        </w:rPr>
        <w:t>同构平台</w:t>
      </w:r>
      <w:r>
        <w:rPr>
          <w:rFonts w:ascii="黑体" w:hAnsi="黑体" w:eastAsia="黑体" w:cstheme="minorBidi"/>
          <w:bCs/>
          <w:color w:val="800000"/>
          <w:sz w:val="24"/>
        </w:rPr>
        <w:t>迁移</w:t>
      </w:r>
    </w:p>
    <w:p>
      <w:pPr>
        <w:spacing w:line="360" w:lineRule="auto"/>
        <w:ind w:left="0" w:firstLine="420"/>
        <w:rPr>
          <w:sz w:val="24"/>
          <w:szCs w:val="24"/>
        </w:rPr>
      </w:pPr>
      <w:r>
        <w:rPr>
          <w:rFonts w:hint="eastAsia"/>
          <w:sz w:val="24"/>
          <w:szCs w:val="24"/>
        </w:rPr>
        <w:t>基于磁盘镜像、内存复制增量复制技术实现虚拟机在</w:t>
      </w:r>
      <w:r>
        <w:rPr>
          <w:sz w:val="24"/>
          <w:szCs w:val="24"/>
        </w:rPr>
        <w:t>同构超融合平台</w:t>
      </w:r>
      <w:r>
        <w:rPr>
          <w:rFonts w:hint="eastAsia"/>
          <w:sz w:val="24"/>
          <w:szCs w:val="24"/>
        </w:rPr>
        <w:t>间</w:t>
      </w:r>
      <w:r>
        <w:rPr>
          <w:sz w:val="24"/>
          <w:szCs w:val="24"/>
        </w:rPr>
        <w:t>的</w:t>
      </w:r>
      <w:r>
        <w:rPr>
          <w:rFonts w:hint="eastAsia"/>
          <w:sz w:val="24"/>
          <w:szCs w:val="24"/>
        </w:rPr>
        <w:t>跨云迁移，虚拟机迁移过程中的数据传输（磁盘镜像和内存数据），是基于hypervisor的数据传输，即通过Host之间连接进行数据传输。同构平台迁移实现了当前超融合数据中心与其他同构超融合数据中心资源的共享，是构建云间资源共享的桥梁，提供了虚拟机在不同数据中心同构超融合管理平台之间在线迁移且业务不中断的功能。</w:t>
      </w:r>
    </w:p>
    <w:p>
      <w:pPr>
        <w:spacing w:line="360" w:lineRule="auto"/>
        <w:ind w:left="0" w:firstLine="420"/>
        <w:rPr>
          <w:sz w:val="24"/>
          <w:szCs w:val="24"/>
        </w:rPr>
      </w:pPr>
      <w:r>
        <w:rPr>
          <w:rFonts w:hint="eastAsia"/>
          <w:sz w:val="24"/>
          <w:szCs w:val="24"/>
        </w:rPr>
        <w:t>同构平台迁移包括增加超融合</w:t>
      </w:r>
      <w:r>
        <w:rPr>
          <w:sz w:val="24"/>
          <w:szCs w:val="24"/>
        </w:rPr>
        <w:t>集群</w:t>
      </w:r>
      <w:r>
        <w:rPr>
          <w:rFonts w:hint="eastAsia"/>
          <w:sz w:val="24"/>
          <w:szCs w:val="24"/>
        </w:rPr>
        <w:t>资源、修改超融合</w:t>
      </w:r>
      <w:r>
        <w:rPr>
          <w:sz w:val="24"/>
          <w:szCs w:val="24"/>
        </w:rPr>
        <w:t>集群</w:t>
      </w:r>
      <w:r>
        <w:rPr>
          <w:rFonts w:hint="eastAsia"/>
          <w:sz w:val="24"/>
          <w:szCs w:val="24"/>
        </w:rPr>
        <w:t>资源、删除超融合</w:t>
      </w:r>
      <w:r>
        <w:rPr>
          <w:sz w:val="24"/>
          <w:szCs w:val="24"/>
        </w:rPr>
        <w:t>集群</w:t>
      </w:r>
      <w:r>
        <w:rPr>
          <w:rFonts w:hint="eastAsia"/>
          <w:sz w:val="24"/>
          <w:szCs w:val="24"/>
        </w:rPr>
        <w:t>资源和在超融合管理平台间迁移虚拟机等功能。</w:t>
      </w:r>
    </w:p>
    <w:p>
      <w:pPr>
        <w:pStyle w:val="59"/>
        <w:spacing w:line="360" w:lineRule="auto"/>
        <w:jc w:val="center"/>
        <w:rPr>
          <w:sz w:val="24"/>
          <w:szCs w:val="24"/>
        </w:rPr>
      </w:pPr>
      <w:r>
        <w:rPr>
          <w:sz w:val="24"/>
          <w:szCs w:val="24"/>
        </w:rPr>
        <w:drawing>
          <wp:inline distT="0" distB="0" distL="0" distR="0">
            <wp:extent cx="5822950" cy="2333625"/>
            <wp:effectExtent l="0" t="0" r="635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r:embed="rId39"/>
                    <a:stretch>
                      <a:fillRect/>
                    </a:stretch>
                  </pic:blipFill>
                  <pic:spPr>
                    <a:xfrm>
                      <a:off x="0" y="0"/>
                      <a:ext cx="5884187" cy="2358072"/>
                    </a:xfrm>
                    <a:prstGeom prst="rect">
                      <a:avLst/>
                    </a:prstGeom>
                  </pic:spPr>
                </pic:pic>
              </a:graphicData>
            </a:graphic>
          </wp:inline>
        </w:drawing>
      </w:r>
    </w:p>
    <w:p>
      <w:pPr>
        <w:pStyle w:val="51"/>
        <w:spacing w:line="360" w:lineRule="auto"/>
        <w:jc w:val="center"/>
        <w:rPr>
          <w:sz w:val="24"/>
          <w:szCs w:val="24"/>
        </w:rPr>
      </w:pPr>
      <w:r>
        <w:rPr>
          <w:rFonts w:hint="eastAsia"/>
          <w:sz w:val="24"/>
          <w:szCs w:val="24"/>
        </w:rPr>
        <w:t>虚拟机同构平台迁移</w:t>
      </w:r>
    </w:p>
    <w:p>
      <w:pPr>
        <w:pStyle w:val="65"/>
        <w:numPr>
          <w:ilvl w:val="0"/>
          <w:numId w:val="27"/>
        </w:numPr>
        <w:spacing w:after="80" w:line="360" w:lineRule="auto"/>
        <w:jc w:val="both"/>
        <w:outlineLvl w:val="9"/>
        <w:rPr>
          <w:rFonts w:ascii="黑体" w:hAnsi="黑体" w:eastAsia="黑体" w:cstheme="minorBidi"/>
          <w:bCs/>
          <w:color w:val="800000"/>
          <w:sz w:val="24"/>
        </w:rPr>
      </w:pPr>
      <w:r>
        <w:rPr>
          <w:rFonts w:hint="eastAsia" w:ascii="黑体" w:hAnsi="黑体" w:eastAsia="黑体" w:cstheme="minorBidi"/>
          <w:bCs/>
          <w:color w:val="800000"/>
          <w:sz w:val="24"/>
        </w:rPr>
        <w:t>异构平台迁移</w:t>
      </w:r>
    </w:p>
    <w:p>
      <w:pPr>
        <w:spacing w:line="360" w:lineRule="auto"/>
        <w:ind w:left="0" w:firstLine="420"/>
        <w:rPr>
          <w:rFonts w:ascii="Times New Roman" w:hAnsi="Times New Roman" w:cs="Times New Roman"/>
          <w:sz w:val="24"/>
          <w:szCs w:val="24"/>
        </w:rPr>
      </w:pPr>
      <w:r>
        <w:rPr>
          <w:rFonts w:hint="eastAsia" w:ascii="Times New Roman" w:hAnsi="Times New Roman" w:cs="Times New Roman"/>
          <w:sz w:val="24"/>
          <w:szCs w:val="24"/>
        </w:rPr>
        <w:t>异构平台迁移服务可以将X86服务器，包括传统硬件架构、超融合管理平台虚拟机、异构云平台虚拟机，迁移到本地超融合管理平台。该功能将安装了迁移客户端的物理服务器或虚拟机，作为待迁移的源设备，将本地超融合平台中的虚拟机作为迁移的目的虚拟机，通过迁移源设备的磁盘数据，实现P2V及V2V迁移。需要在源端待迁移的物理机或虚拟机内部安装Agent客户端服务，并利用Agent客户端的磁盘块级迁移技术，在线将数据实时迁移至目标机上。</w:t>
      </w:r>
    </w:p>
    <w:p>
      <w:pPr>
        <w:pStyle w:val="59"/>
        <w:spacing w:line="360" w:lineRule="auto"/>
        <w:rPr>
          <w:rFonts w:ascii="Times New Roman" w:hAnsi="Times New Roman" w:cs="Times New Roman"/>
          <w:sz w:val="24"/>
          <w:szCs w:val="24"/>
        </w:rPr>
      </w:pPr>
      <w:r>
        <w:rPr>
          <w:sz w:val="24"/>
          <w:szCs w:val="24"/>
        </w:rPr>
        <w:drawing>
          <wp:inline distT="0" distB="0" distL="0" distR="0">
            <wp:extent cx="5524500" cy="3119755"/>
            <wp:effectExtent l="0" t="0" r="0" b="44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r:embed="rId40"/>
                    <a:stretch>
                      <a:fillRect/>
                    </a:stretch>
                  </pic:blipFill>
                  <pic:spPr>
                    <a:xfrm>
                      <a:off x="0" y="0"/>
                      <a:ext cx="5551489" cy="3135169"/>
                    </a:xfrm>
                    <a:prstGeom prst="rect">
                      <a:avLst/>
                    </a:prstGeom>
                  </pic:spPr>
                </pic:pic>
              </a:graphicData>
            </a:graphic>
          </wp:inline>
        </w:drawing>
      </w:r>
    </w:p>
    <w:p>
      <w:pPr>
        <w:pStyle w:val="51"/>
        <w:spacing w:line="360" w:lineRule="auto"/>
        <w:jc w:val="center"/>
        <w:rPr>
          <w:sz w:val="24"/>
          <w:szCs w:val="24"/>
        </w:rPr>
      </w:pPr>
      <w:r>
        <w:rPr>
          <w:rFonts w:hint="eastAsia"/>
          <w:sz w:val="24"/>
          <w:szCs w:val="24"/>
        </w:rPr>
        <w:t>虚拟机异构平台迁移</w:t>
      </w:r>
    </w:p>
    <w:p>
      <w:pPr>
        <w:pStyle w:val="4"/>
        <w:rPr>
          <w:sz w:val="24"/>
          <w:szCs w:val="24"/>
        </w:rPr>
      </w:pPr>
      <w:bookmarkStart w:id="56" w:name="_Toc31704607"/>
      <w:r>
        <w:rPr>
          <w:rFonts w:hint="eastAsia"/>
          <w:sz w:val="24"/>
          <w:szCs w:val="24"/>
        </w:rPr>
        <w:t xml:space="preserve"> 超融合解决</w:t>
      </w:r>
      <w:r>
        <w:rPr>
          <w:sz w:val="24"/>
          <w:szCs w:val="24"/>
        </w:rPr>
        <w:t>方案</w:t>
      </w:r>
      <w:bookmarkEnd w:id="56"/>
    </w:p>
    <w:p>
      <w:pPr>
        <w:pStyle w:val="5"/>
        <w:rPr>
          <w:sz w:val="24"/>
          <w:szCs w:val="24"/>
        </w:rPr>
      </w:pPr>
      <w:bookmarkStart w:id="57" w:name="_Toc31704609"/>
      <w:r>
        <w:rPr>
          <w:rFonts w:hint="eastAsia"/>
          <w:sz w:val="24"/>
          <w:szCs w:val="24"/>
        </w:rPr>
        <w:t>六</w:t>
      </w:r>
      <w:r>
        <w:rPr>
          <w:sz w:val="24"/>
          <w:szCs w:val="24"/>
        </w:rPr>
        <w:t>大软件能力的管理融合</w:t>
      </w:r>
      <w:bookmarkEnd w:id="57"/>
    </w:p>
    <w:p>
      <w:pPr>
        <w:spacing w:line="360" w:lineRule="auto"/>
        <w:rPr>
          <w:sz w:val="24"/>
          <w:szCs w:val="24"/>
        </w:rPr>
      </w:pPr>
      <w:r>
        <w:rPr>
          <w:rFonts w:hint="eastAsia"/>
          <w:sz w:val="24"/>
          <w:szCs w:val="24"/>
        </w:rPr>
        <w:t>H3C UIS 超融合产品解决了传统数据中心IT建设的关键困境：管理孤岛。通过计算、存储、网络、安全、运维监控、云业务交付流程等六大软件能力的融合管理，将IT管理员从繁重的配置、调优和问题定位协调中解放出来，将更多的精力投入到为企业创造价值的虚拟化业务上，同时，超融合消除了专用存储设备和专用存储网络，减轻了存储阵列与网络维护方面所需投入的人力与物力，降低了IT管理员对存储专业知识方面的需求。</w:t>
      </w:r>
    </w:p>
    <w:p>
      <w:pPr>
        <w:rPr>
          <w:sz w:val="24"/>
          <w:szCs w:val="24"/>
        </w:rPr>
      </w:pPr>
      <w:r>
        <w:rPr>
          <w:sz w:val="24"/>
          <w:szCs w:val="24"/>
        </w:rPr>
        <w:object>
          <v:shape id="_x0000_i1033" o:spt="75" type="#_x0000_t75" style="height:256.5pt;width:481.5pt;" o:ole="t" filled="f" o:preferrelative="t" stroked="f" coordsize="21600,21600">
            <v:path/>
            <v:fill on="f" focussize="0,0"/>
            <v:stroke on="f" joinstyle="miter"/>
            <v:imagedata r:id="rId42" o:title=""/>
            <o:lock v:ext="edit" aspectratio="t"/>
            <w10:wrap type="none"/>
            <w10:anchorlock/>
          </v:shape>
          <o:OLEObject Type="Embed" ProgID="PowerPoint.Slide.12" ShapeID="_x0000_i1033" DrawAspect="Content" ObjectID="_1468075733" r:id="rId41">
            <o:LockedField>false</o:LockedField>
          </o:OLEObject>
        </w:object>
      </w:r>
    </w:p>
    <w:p>
      <w:pPr>
        <w:pStyle w:val="5"/>
        <w:rPr>
          <w:sz w:val="24"/>
          <w:szCs w:val="24"/>
        </w:rPr>
      </w:pPr>
      <w:bookmarkStart w:id="58" w:name="_Toc31704610"/>
      <w:r>
        <w:rPr>
          <w:rFonts w:hint="eastAsia"/>
          <w:sz w:val="24"/>
          <w:szCs w:val="24"/>
        </w:rPr>
        <w:t>服务器虚拟化</w:t>
      </w:r>
      <w:bookmarkEnd w:id="58"/>
    </w:p>
    <w:p>
      <w:pPr>
        <w:pStyle w:val="7"/>
        <w:spacing w:line="360" w:lineRule="auto"/>
        <w:rPr>
          <w:sz w:val="24"/>
          <w:szCs w:val="24"/>
        </w:rPr>
      </w:pPr>
      <w:r>
        <w:rPr>
          <w:rFonts w:hint="eastAsia"/>
          <w:sz w:val="24"/>
          <w:szCs w:val="24"/>
        </w:rPr>
        <w:t>概述</w:t>
      </w:r>
    </w:p>
    <w:p>
      <w:pPr>
        <w:spacing w:line="360" w:lineRule="auto"/>
        <w:rPr>
          <w:sz w:val="24"/>
          <w:szCs w:val="24"/>
        </w:rPr>
      </w:pPr>
      <w:r>
        <w:rPr>
          <w:sz w:val="24"/>
          <w:szCs w:val="24"/>
        </w:rPr>
        <w:t>UIS计算</w:t>
      </w:r>
      <w:r>
        <w:rPr>
          <w:rFonts w:hint="eastAsia"/>
          <w:sz w:val="24"/>
          <w:szCs w:val="24"/>
        </w:rPr>
        <w:t>资源池是通过x</w:t>
      </w:r>
      <w:r>
        <w:rPr>
          <w:sz w:val="24"/>
          <w:szCs w:val="24"/>
        </w:rPr>
        <w:t>86</w:t>
      </w:r>
      <w:r>
        <w:rPr>
          <w:rFonts w:hint="eastAsia"/>
          <w:sz w:val="24"/>
          <w:szCs w:val="24"/>
        </w:rPr>
        <w:t>服务器CAS虚拟化软件来实现的，</w:t>
      </w:r>
      <w:r>
        <w:rPr>
          <w:sz w:val="24"/>
          <w:szCs w:val="24"/>
        </w:rPr>
        <w:t>H3C CAS虚拟化平台采用裸金属架构，实现对数据中心内的计算、网络和存储等硬件资源的虚拟化管理，对上层应用提供自动化服务。其业务范围包括：虚拟计算、虚拟网络、虚拟存储、高可用性（HA）、动态资源调度（DRS）、虚拟机容灾与备份、虚拟机模板管理、集群文件系统、虚拟网络策略管理等</w:t>
      </w:r>
      <w:r>
        <w:rPr>
          <w:rFonts w:hint="eastAsia"/>
          <w:sz w:val="24"/>
          <w:szCs w:val="24"/>
        </w:rPr>
        <w:t>。在虚拟化Hy</w:t>
      </w:r>
      <w:r>
        <w:rPr>
          <w:sz w:val="24"/>
          <w:szCs w:val="24"/>
        </w:rPr>
        <w:t>pervisor</w:t>
      </w:r>
      <w:r>
        <w:rPr>
          <w:rFonts w:hint="eastAsia"/>
          <w:sz w:val="24"/>
          <w:szCs w:val="24"/>
        </w:rPr>
        <w:t>层形成计算资源池，为业务系统的虚拟机提供不同的服务质量和能力。</w:t>
      </w:r>
    </w:p>
    <w:p>
      <w:pPr>
        <w:pStyle w:val="7"/>
        <w:spacing w:line="360" w:lineRule="auto"/>
        <w:rPr>
          <w:sz w:val="24"/>
          <w:szCs w:val="24"/>
        </w:rPr>
      </w:pPr>
      <w:r>
        <w:rPr>
          <w:rFonts w:hint="eastAsia"/>
          <w:sz w:val="24"/>
          <w:szCs w:val="24"/>
        </w:rPr>
        <w:t xml:space="preserve">UIS </w:t>
      </w:r>
      <w:r>
        <w:rPr>
          <w:sz w:val="24"/>
          <w:szCs w:val="24"/>
        </w:rPr>
        <w:t xml:space="preserve"> </w:t>
      </w:r>
      <w:r>
        <w:rPr>
          <w:rFonts w:hint="eastAsia"/>
          <w:sz w:val="24"/>
          <w:szCs w:val="24"/>
        </w:rPr>
        <w:t>CAS部分特性</w:t>
      </w:r>
    </w:p>
    <w:p>
      <w:pPr>
        <w:pStyle w:val="129"/>
        <w:widowControl w:val="0"/>
        <w:numPr>
          <w:ilvl w:val="0"/>
          <w:numId w:val="28"/>
        </w:numPr>
        <w:spacing w:before="160" w:after="120" w:line="360" w:lineRule="auto"/>
        <w:ind w:firstLineChars="0"/>
        <w:jc w:val="left"/>
        <w:rPr>
          <w:sz w:val="24"/>
          <w:szCs w:val="24"/>
        </w:rPr>
      </w:pPr>
      <w:r>
        <w:rPr>
          <w:rFonts w:hint="eastAsia"/>
          <w:sz w:val="24"/>
          <w:szCs w:val="24"/>
        </w:rPr>
        <w:t>V</w:t>
      </w:r>
      <w:r>
        <w:rPr>
          <w:sz w:val="24"/>
          <w:szCs w:val="24"/>
        </w:rPr>
        <w:t>Motion</w:t>
      </w:r>
      <w:r>
        <w:rPr>
          <w:rFonts w:hint="eastAsia"/>
          <w:sz w:val="24"/>
          <w:szCs w:val="24"/>
        </w:rPr>
        <w:t>在线</w:t>
      </w:r>
      <w:r>
        <w:rPr>
          <w:sz w:val="24"/>
          <w:szCs w:val="24"/>
        </w:rPr>
        <w:t>迁移</w:t>
      </w:r>
    </w:p>
    <w:p>
      <w:pPr>
        <w:spacing w:line="360" w:lineRule="auto"/>
        <w:rPr>
          <w:sz w:val="24"/>
          <w:szCs w:val="24"/>
        </w:rPr>
      </w:pPr>
      <w:r>
        <w:rPr>
          <w:sz w:val="24"/>
          <w:szCs w:val="24"/>
        </w:rPr>
        <w:t>CAS</w:t>
      </w:r>
      <w:r>
        <w:rPr>
          <w:rFonts w:hint="eastAsia"/>
          <w:sz w:val="24"/>
          <w:szCs w:val="24"/>
        </w:rPr>
        <w:t xml:space="preserve"> vMotion能在实现零停机和服务连续可用的情况下将正在运行的虚拟机从一台物理服务器实时地迁移到另一台物理服务器上，并且能够完全保证事务的完整性。</w:t>
      </w:r>
    </w:p>
    <w:p>
      <w:pPr>
        <w:spacing w:line="360" w:lineRule="auto"/>
        <w:rPr>
          <w:sz w:val="24"/>
          <w:szCs w:val="24"/>
        </w:rPr>
      </w:pPr>
      <w:r>
        <w:rPr>
          <w:sz w:val="24"/>
          <w:szCs w:val="24"/>
        </w:rPr>
        <w:drawing>
          <wp:inline distT="0" distB="0" distL="0" distR="0">
            <wp:extent cx="5278120" cy="2139950"/>
            <wp:effectExtent l="0" t="0" r="0" b="0"/>
            <wp:docPr id="7174" name="图片 7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4" name="图片 7174"/>
                    <pic:cNvPicPr>
                      <a:picLocks noChangeAspect="1"/>
                    </pic:cNvPicPr>
                  </pic:nvPicPr>
                  <pic:blipFill>
                    <a:blip r:embed="rId43"/>
                    <a:stretch>
                      <a:fillRect/>
                    </a:stretch>
                  </pic:blipFill>
                  <pic:spPr>
                    <a:xfrm>
                      <a:off x="0" y="0"/>
                      <a:ext cx="5278120" cy="2139960"/>
                    </a:xfrm>
                    <a:prstGeom prst="rect">
                      <a:avLst/>
                    </a:prstGeom>
                  </pic:spPr>
                </pic:pic>
              </a:graphicData>
            </a:graphic>
          </wp:inline>
        </w:drawing>
      </w:r>
    </w:p>
    <w:p>
      <w:pPr>
        <w:pStyle w:val="129"/>
        <w:widowControl w:val="0"/>
        <w:numPr>
          <w:ilvl w:val="0"/>
          <w:numId w:val="28"/>
        </w:numPr>
        <w:spacing w:before="160" w:after="120" w:line="360" w:lineRule="auto"/>
        <w:ind w:firstLineChars="0"/>
        <w:jc w:val="left"/>
        <w:rPr>
          <w:sz w:val="24"/>
          <w:szCs w:val="24"/>
        </w:rPr>
      </w:pPr>
      <w:r>
        <w:rPr>
          <w:rFonts w:hint="eastAsia"/>
          <w:sz w:val="24"/>
          <w:szCs w:val="24"/>
        </w:rPr>
        <w:t>高可靠HA</w:t>
      </w:r>
    </w:p>
    <w:p>
      <w:pPr>
        <w:spacing w:line="360" w:lineRule="auto"/>
        <w:rPr>
          <w:sz w:val="24"/>
          <w:szCs w:val="24"/>
        </w:rPr>
      </w:pPr>
      <w:r>
        <w:rPr>
          <w:rFonts w:hint="eastAsia"/>
          <w:sz w:val="24"/>
          <w:szCs w:val="24"/>
        </w:rPr>
        <w:t>H3C CAS 服务器虚拟化管理平台对数据中心IT基础设施进行基于集群的集中化管理，由多台独立服务器主机聚合形成的集群不仅降低了管理的复杂度，而且具有内在的高可靠性，从而为用户提供一个经济、有效、适用于所有应用的高可靠性解决方案。H3C CAS服务器虚拟化管理定时对集群内的主机和虚拟机状态进行监测，当服务器发生故障的时候，受影响的虚拟机将在集群中留有备用容量的其它主机上自动重启，从而将停机时间和服务中断降低到最低，同时不需要专门的备用硬件和安装附加的软件。H3C CAS 服务器虚拟化管理目前能够提供网络层面</w:t>
      </w:r>
      <w:r>
        <w:rPr>
          <w:sz w:val="24"/>
          <w:szCs w:val="24"/>
        </w:rPr>
        <w:t>、</w:t>
      </w:r>
      <w:r>
        <w:rPr>
          <w:rFonts w:hint="eastAsia"/>
          <w:sz w:val="24"/>
          <w:szCs w:val="24"/>
        </w:rPr>
        <w:t>虚拟机</w:t>
      </w:r>
      <w:r>
        <w:rPr>
          <w:sz w:val="24"/>
          <w:szCs w:val="24"/>
        </w:rPr>
        <w:t>层面、</w:t>
      </w:r>
      <w:r>
        <w:rPr>
          <w:rFonts w:hint="eastAsia"/>
          <w:sz w:val="24"/>
          <w:szCs w:val="24"/>
        </w:rPr>
        <w:t>应用</w:t>
      </w:r>
      <w:r>
        <w:rPr>
          <w:sz w:val="24"/>
          <w:szCs w:val="24"/>
        </w:rPr>
        <w:t>层面、操作系统</w:t>
      </w:r>
      <w:r>
        <w:rPr>
          <w:rFonts w:hint="eastAsia"/>
          <w:sz w:val="24"/>
          <w:szCs w:val="24"/>
        </w:rPr>
        <w:t>、</w:t>
      </w:r>
      <w:r>
        <w:rPr>
          <w:sz w:val="24"/>
          <w:szCs w:val="24"/>
        </w:rPr>
        <w:t>主机层面</w:t>
      </w:r>
      <w:r>
        <w:rPr>
          <w:rFonts w:hint="eastAsia"/>
          <w:sz w:val="24"/>
          <w:szCs w:val="24"/>
        </w:rPr>
        <w:t>等多种HA方案，提供不同故障情况下的高可靠性保证。</w:t>
      </w:r>
    </w:p>
    <w:p>
      <w:pPr>
        <w:pStyle w:val="129"/>
        <w:widowControl w:val="0"/>
        <w:numPr>
          <w:ilvl w:val="0"/>
          <w:numId w:val="28"/>
        </w:numPr>
        <w:spacing w:before="160" w:after="120" w:line="360" w:lineRule="auto"/>
        <w:ind w:firstLineChars="0"/>
        <w:jc w:val="left"/>
        <w:rPr>
          <w:sz w:val="24"/>
          <w:szCs w:val="24"/>
        </w:rPr>
      </w:pPr>
      <w:r>
        <w:rPr>
          <w:rFonts w:hint="eastAsia"/>
          <w:sz w:val="24"/>
          <w:szCs w:val="24"/>
        </w:rPr>
        <w:t>SRM</w:t>
      </w:r>
    </w:p>
    <w:p>
      <w:pPr>
        <w:spacing w:line="360" w:lineRule="auto"/>
        <w:rPr>
          <w:sz w:val="24"/>
          <w:szCs w:val="24"/>
        </w:rPr>
      </w:pPr>
      <w:r>
        <w:rPr>
          <w:rFonts w:hint="eastAsia"/>
          <w:sz w:val="24"/>
          <w:szCs w:val="24"/>
        </w:rPr>
        <w:t xml:space="preserve">SRM（Site Recovery Manager，站点恢复管理）是H3C </w:t>
      </w:r>
      <w:r>
        <w:rPr>
          <w:sz w:val="24"/>
          <w:szCs w:val="24"/>
        </w:rPr>
        <w:t xml:space="preserve">UIS </w:t>
      </w:r>
      <w:r>
        <w:rPr>
          <w:rFonts w:hint="eastAsia"/>
          <w:sz w:val="24"/>
          <w:szCs w:val="24"/>
        </w:rPr>
        <w:t>CAS提供的数据中心级异地容灾管理解决方案，该解决方案用于在生产站点发生故障的情况下，通过一系列的故障恢复流程在灾备站点将业务恢复起来，它可为集中式恢复计划提供自动化编排和无中断测试，从而简化了所有虚拟化应用的灾难恢复管理。</w:t>
      </w:r>
    </w:p>
    <w:p>
      <w:pPr>
        <w:spacing w:line="360" w:lineRule="auto"/>
        <w:rPr>
          <w:sz w:val="24"/>
          <w:szCs w:val="24"/>
        </w:rPr>
      </w:pPr>
      <w:r>
        <w:rPr>
          <w:rFonts w:hint="eastAsia"/>
          <w:sz w:val="24"/>
          <w:szCs w:val="24"/>
        </w:rPr>
        <w:t>SRM容灾解决方案基于存储</w:t>
      </w:r>
      <w:r>
        <w:rPr>
          <w:sz w:val="24"/>
          <w:szCs w:val="24"/>
        </w:rPr>
        <w:t>层</w:t>
      </w:r>
      <w:r>
        <w:rPr>
          <w:rFonts w:hint="eastAsia"/>
          <w:sz w:val="24"/>
          <w:szCs w:val="24"/>
        </w:rPr>
        <w:t>复制功能实现，本地站点和远端灾备站点的存储复制技术要求一致，存储层上有存储复制的许可和快照的许可。H3C CAS 虚拟化管理提供的SRM容灾解决方案可以实现多种故障恢复场景，包括计划故障恢复、测试恢复计划、故障恢复和反向恢复等。</w:t>
      </w:r>
    </w:p>
    <w:p>
      <w:pPr>
        <w:spacing w:line="360" w:lineRule="auto"/>
        <w:rPr>
          <w:rFonts w:ascii="微软雅黑" w:hAnsi="微软雅黑" w:eastAsia="微软雅黑"/>
          <w:sz w:val="24"/>
          <w:szCs w:val="24"/>
        </w:rPr>
      </w:pPr>
      <w:r>
        <w:rPr>
          <w:sz w:val="24"/>
          <w:szCs w:val="24"/>
        </w:rPr>
        <w:drawing>
          <wp:inline distT="0" distB="0" distL="0" distR="0">
            <wp:extent cx="5181600" cy="271208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44"/>
                    <a:stretch>
                      <a:fillRect/>
                    </a:stretch>
                  </pic:blipFill>
                  <pic:spPr>
                    <a:xfrm>
                      <a:off x="0" y="0"/>
                      <a:ext cx="5188187" cy="2715780"/>
                    </a:xfrm>
                    <a:prstGeom prst="rect">
                      <a:avLst/>
                    </a:prstGeom>
                  </pic:spPr>
                </pic:pic>
              </a:graphicData>
            </a:graphic>
          </wp:inline>
        </w:drawing>
      </w:r>
      <w:r>
        <w:rPr>
          <w:rFonts w:hint="eastAsia"/>
          <w:sz w:val="24"/>
          <w:szCs w:val="24"/>
        </w:rPr>
        <w:t xml:space="preserve"> </w:t>
      </w:r>
    </w:p>
    <w:p>
      <w:pPr>
        <w:pStyle w:val="129"/>
        <w:widowControl w:val="0"/>
        <w:numPr>
          <w:ilvl w:val="0"/>
          <w:numId w:val="28"/>
        </w:numPr>
        <w:spacing w:before="160" w:after="120" w:line="360" w:lineRule="auto"/>
        <w:ind w:firstLineChars="0"/>
        <w:jc w:val="left"/>
        <w:rPr>
          <w:sz w:val="24"/>
          <w:szCs w:val="24"/>
        </w:rPr>
      </w:pPr>
      <w:r>
        <w:rPr>
          <w:sz w:val="24"/>
          <w:szCs w:val="24"/>
        </w:rPr>
        <w:t>CPU和内存的热添加和磁盘的热扩展</w:t>
      </w:r>
    </w:p>
    <w:p>
      <w:pPr>
        <w:spacing w:line="360" w:lineRule="auto"/>
        <w:rPr>
          <w:sz w:val="24"/>
          <w:szCs w:val="24"/>
        </w:rPr>
      </w:pPr>
      <w:r>
        <w:rPr>
          <w:sz w:val="24"/>
          <w:szCs w:val="24"/>
        </w:rPr>
        <w:t>热添加使管理员可以在虚拟机需要时为其增加 RAM 和 CPU 资源，同时不会中断虚拟机的使用。这样可减少停机时间并确保虚拟机中的应用始终拥有所需的资源。</w:t>
      </w:r>
    </w:p>
    <w:p>
      <w:pPr>
        <w:spacing w:line="360" w:lineRule="auto"/>
        <w:rPr>
          <w:sz w:val="24"/>
          <w:szCs w:val="24"/>
        </w:rPr>
      </w:pPr>
      <w:r>
        <w:rPr>
          <w:sz w:val="24"/>
          <w:szCs w:val="24"/>
        </w:rPr>
        <w:t>即使制定了最好的规划，应用所需的资源有时还是超出预期，</w:t>
      </w:r>
      <w:r>
        <w:rPr>
          <w:rFonts w:hint="eastAsia"/>
          <w:sz w:val="24"/>
          <w:szCs w:val="24"/>
        </w:rPr>
        <w:t>CAS</w:t>
      </w:r>
      <w:r>
        <w:rPr>
          <w:sz w:val="24"/>
          <w:szCs w:val="24"/>
        </w:rPr>
        <w:t>支持热添加vCPU和内存以及热添加/热扩展虚拟磁盘，从而实现虚拟机资源的动态添加。通过在不中断应用或终端用户的情况下为虚拟机调配添加vCPU，内存和硬盘，热添加和热扩展能力允许IT为应用添加可用资源。所有虚拟机都支持虚拟磁盘的热添加/热扩展。所有在物理服务器上本地支持热添加vCPU/内存的客户操作系统，都支持虚拟机CPU/内存的热添加。</w:t>
      </w:r>
    </w:p>
    <w:p>
      <w:pPr>
        <w:spacing w:line="360" w:lineRule="auto"/>
        <w:rPr>
          <w:kern w:val="0"/>
          <w:sz w:val="24"/>
          <w:szCs w:val="24"/>
        </w:rPr>
      </w:pPr>
      <w:r>
        <w:rPr>
          <w:sz w:val="24"/>
          <w:szCs w:val="24"/>
        </w:rPr>
        <w:drawing>
          <wp:inline distT="0" distB="0" distL="0" distR="0">
            <wp:extent cx="5440680" cy="2647950"/>
            <wp:effectExtent l="0" t="0" r="7620" b="0"/>
            <wp:docPr id="7175" name="图片 7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5" name="图片 7175"/>
                    <pic:cNvPicPr>
                      <a:picLocks noChangeAspect="1"/>
                    </pic:cNvPicPr>
                  </pic:nvPicPr>
                  <pic:blipFill>
                    <a:blip r:embed="rId45"/>
                    <a:stretch>
                      <a:fillRect/>
                    </a:stretch>
                  </pic:blipFill>
                  <pic:spPr>
                    <a:xfrm>
                      <a:off x="0" y="0"/>
                      <a:ext cx="5450968" cy="2653221"/>
                    </a:xfrm>
                    <a:prstGeom prst="rect">
                      <a:avLst/>
                    </a:prstGeom>
                  </pic:spPr>
                </pic:pic>
              </a:graphicData>
            </a:graphic>
          </wp:inline>
        </w:drawing>
      </w:r>
    </w:p>
    <w:p>
      <w:pPr>
        <w:pStyle w:val="129"/>
        <w:widowControl w:val="0"/>
        <w:numPr>
          <w:ilvl w:val="0"/>
          <w:numId w:val="28"/>
        </w:numPr>
        <w:spacing w:before="160" w:after="120" w:line="360" w:lineRule="auto"/>
        <w:ind w:firstLineChars="0"/>
        <w:jc w:val="left"/>
        <w:rPr>
          <w:sz w:val="24"/>
          <w:szCs w:val="24"/>
        </w:rPr>
      </w:pPr>
      <w:r>
        <w:rPr>
          <w:sz w:val="24"/>
          <w:szCs w:val="24"/>
        </w:rPr>
        <w:t>分布式资源调度DRS</w:t>
      </w:r>
    </w:p>
    <w:p>
      <w:pPr>
        <w:spacing w:line="360" w:lineRule="auto"/>
        <w:rPr>
          <w:sz w:val="24"/>
          <w:szCs w:val="24"/>
        </w:rPr>
      </w:pPr>
      <w:r>
        <w:rPr>
          <w:sz w:val="24"/>
          <w:szCs w:val="24"/>
        </w:rPr>
        <w:t>CAS Distributed Resource Scheduler (DRS) 可以跨 CAS 服务器持续地监视利用率，并可根据业务需求在虚拟机之间智能分配可用资源。</w:t>
      </w:r>
    </w:p>
    <w:p>
      <w:pPr>
        <w:pStyle w:val="129"/>
        <w:widowControl w:val="0"/>
        <w:numPr>
          <w:ilvl w:val="0"/>
          <w:numId w:val="28"/>
        </w:numPr>
        <w:spacing w:before="160" w:after="120" w:line="360" w:lineRule="auto"/>
        <w:ind w:firstLineChars="0"/>
        <w:jc w:val="left"/>
        <w:rPr>
          <w:sz w:val="24"/>
          <w:szCs w:val="24"/>
        </w:rPr>
      </w:pPr>
      <w:r>
        <w:rPr>
          <w:sz w:val="24"/>
          <w:szCs w:val="24"/>
        </w:rPr>
        <w:t>分布式电源管理DPM</w:t>
      </w:r>
    </w:p>
    <w:p>
      <w:pPr>
        <w:spacing w:line="360" w:lineRule="auto"/>
        <w:rPr>
          <w:sz w:val="24"/>
          <w:szCs w:val="24"/>
        </w:rPr>
      </w:pPr>
      <w:r>
        <w:rPr>
          <w:sz w:val="24"/>
          <w:szCs w:val="24"/>
        </w:rPr>
        <w:t>分布式电源管理CAS Distributed Power Management (DPM) 可持续优化数据中心的能耗。当 DRS 集群中的虚拟机所需资源较少时（例如在夜间和周末），DPM 会将工作负载整合到较少的服务器上，并关闭其余服务器以减少能耗。当虚拟机资源需求增加时，DPM 会让关闭的主机恢复联机，以确保达到服务级别要求。</w:t>
      </w:r>
    </w:p>
    <w:p>
      <w:pPr>
        <w:spacing w:line="360" w:lineRule="auto"/>
        <w:rPr>
          <w:sz w:val="24"/>
          <w:szCs w:val="24"/>
        </w:rPr>
      </w:pPr>
      <w:r>
        <w:rPr>
          <w:sz w:val="24"/>
          <w:szCs w:val="24"/>
        </w:rPr>
        <w:t>在利用率较低的时段，最多可使数据中心日常的电力和散热成本降低 20%</w:t>
      </w:r>
      <w:r>
        <w:rPr>
          <w:rFonts w:hint="eastAsia"/>
          <w:sz w:val="24"/>
          <w:szCs w:val="24"/>
        </w:rPr>
        <w:t>。</w:t>
      </w:r>
    </w:p>
    <w:p>
      <w:pPr>
        <w:rPr>
          <w:rFonts w:ascii="微软雅黑" w:hAnsi="微软雅黑" w:eastAsia="微软雅黑"/>
          <w:kern w:val="0"/>
          <w:sz w:val="24"/>
          <w:szCs w:val="24"/>
        </w:rPr>
      </w:pPr>
      <w:r>
        <w:rPr>
          <w:sz w:val="24"/>
          <w:szCs w:val="24"/>
        </w:rPr>
        <w:drawing>
          <wp:inline distT="0" distB="0" distL="0" distR="0">
            <wp:extent cx="5278120" cy="259334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46"/>
                    <a:stretch>
                      <a:fillRect/>
                    </a:stretch>
                  </pic:blipFill>
                  <pic:spPr>
                    <a:xfrm>
                      <a:off x="0" y="0"/>
                      <a:ext cx="5278120" cy="2593854"/>
                    </a:xfrm>
                    <a:prstGeom prst="rect">
                      <a:avLst/>
                    </a:prstGeom>
                  </pic:spPr>
                </pic:pic>
              </a:graphicData>
            </a:graphic>
          </wp:inline>
        </w:drawing>
      </w:r>
    </w:p>
    <w:p>
      <w:pPr>
        <w:spacing w:line="360" w:lineRule="auto"/>
        <w:rPr>
          <w:rFonts w:ascii="微软雅黑" w:hAnsi="微软雅黑" w:eastAsia="微软雅黑"/>
          <w:kern w:val="0"/>
          <w:sz w:val="24"/>
          <w:szCs w:val="24"/>
        </w:rPr>
      </w:pPr>
      <w:r>
        <w:rPr>
          <w:rFonts w:hint="eastAsia"/>
          <w:sz w:val="24"/>
          <w:szCs w:val="24"/>
        </w:rPr>
        <w:t>（</w:t>
      </w:r>
      <w:r>
        <w:rPr>
          <w:sz w:val="24"/>
          <w:szCs w:val="24"/>
        </w:rPr>
        <w:t>7</w:t>
      </w:r>
      <w:r>
        <w:rPr>
          <w:rFonts w:hint="eastAsia"/>
          <w:sz w:val="24"/>
          <w:szCs w:val="24"/>
        </w:rPr>
        <w:t>）动态资源扩展</w:t>
      </w:r>
      <w:r>
        <w:rPr>
          <w:rFonts w:hint="eastAsia" w:ascii="微软雅黑" w:hAnsi="微软雅黑" w:eastAsia="微软雅黑"/>
          <w:kern w:val="0"/>
          <w:sz w:val="24"/>
          <w:szCs w:val="24"/>
        </w:rPr>
        <w:t>DRX</w:t>
      </w:r>
    </w:p>
    <w:p>
      <w:pPr>
        <w:spacing w:line="360" w:lineRule="auto"/>
        <w:rPr>
          <w:sz w:val="24"/>
          <w:szCs w:val="24"/>
        </w:rPr>
      </w:pPr>
      <w:r>
        <w:rPr>
          <w:rFonts w:hint="eastAsia"/>
          <w:sz w:val="24"/>
          <w:szCs w:val="24"/>
        </w:rPr>
        <w:t>U</w:t>
      </w:r>
      <w:r>
        <w:rPr>
          <w:sz w:val="24"/>
          <w:szCs w:val="24"/>
        </w:rPr>
        <w:t>IS</w:t>
      </w:r>
      <w:r>
        <w:rPr>
          <w:rFonts w:hint="eastAsia"/>
          <w:sz w:val="24"/>
          <w:szCs w:val="24"/>
        </w:rPr>
        <w:t>提供了独创的面向应用的云资源动态扩展技术（DRX），实时监控承载了特定应用的虚拟服务器组的CPU、内存、TCP连接数、网络吞吐量、磁盘I/O吞吐量和IOPS性能等负载状况，在业务突发时自动扩展业务虚拟机进行流量负载分担，峰值过去后自动回收资源再利用，提高资源利用率，增加业务的灵活性，降低管理难度。</w:t>
      </w:r>
    </w:p>
    <w:p>
      <w:pPr>
        <w:rPr>
          <w:sz w:val="24"/>
          <w:szCs w:val="24"/>
        </w:rPr>
      </w:pPr>
      <w:r>
        <w:rPr>
          <w:sz w:val="24"/>
          <w:szCs w:val="24"/>
        </w:rPr>
        <w:object>
          <v:shape id="_x0000_i1034" o:spt="75" type="#_x0000_t75" style="height:201.5pt;width:352pt;" o:ole="t" filled="f" o:preferrelative="t" stroked="f" coordsize="21600,21600">
            <v:path/>
            <v:fill on="f" focussize="0,0"/>
            <v:stroke on="f" joinstyle="miter"/>
            <v:imagedata r:id="rId48" o:title=""/>
            <o:lock v:ext="edit" aspectratio="t"/>
            <w10:wrap type="none"/>
            <w10:anchorlock/>
          </v:shape>
          <o:OLEObject Type="Embed" ProgID="PowerPoint.Slide.12" ShapeID="_x0000_i1034" DrawAspect="Content" ObjectID="_1468075734" r:id="rId47">
            <o:LockedField>false</o:LockedField>
          </o:OLEObject>
        </w:object>
      </w:r>
    </w:p>
    <w:p>
      <w:pPr>
        <w:pStyle w:val="5"/>
        <w:rPr>
          <w:sz w:val="24"/>
          <w:szCs w:val="24"/>
        </w:rPr>
      </w:pPr>
      <w:bookmarkStart w:id="59" w:name="_Toc31704611"/>
      <w:r>
        <w:rPr>
          <w:rFonts w:hint="eastAsia"/>
          <w:sz w:val="24"/>
          <w:szCs w:val="24"/>
        </w:rPr>
        <w:t>存储</w:t>
      </w:r>
      <w:r>
        <w:rPr>
          <w:sz w:val="24"/>
          <w:szCs w:val="24"/>
        </w:rPr>
        <w:t>虚拟化</w:t>
      </w:r>
      <w:bookmarkEnd w:id="59"/>
    </w:p>
    <w:p>
      <w:pPr>
        <w:pStyle w:val="7"/>
        <w:spacing w:line="360" w:lineRule="auto"/>
        <w:rPr>
          <w:sz w:val="24"/>
          <w:szCs w:val="24"/>
        </w:rPr>
      </w:pPr>
      <w:r>
        <w:rPr>
          <w:rFonts w:hint="eastAsia"/>
          <w:sz w:val="24"/>
          <w:szCs w:val="24"/>
        </w:rPr>
        <w:t>概述</w:t>
      </w:r>
    </w:p>
    <w:p>
      <w:pPr>
        <w:spacing w:line="360" w:lineRule="auto"/>
        <w:rPr>
          <w:sz w:val="24"/>
          <w:szCs w:val="24"/>
        </w:rPr>
      </w:pPr>
      <w:r>
        <w:rPr>
          <w:rFonts w:hint="eastAsia"/>
          <w:sz w:val="24"/>
          <w:szCs w:val="24"/>
        </w:rPr>
        <w:t>H3C ONEStor分布式存储系统通过领先的分布式架构，极易维护的管理平台，全自动化的运维能力，实现了存储性能的线性扩展，可靠性的大大提高，降低了用户的使用门槛，通过系统自身的自动化运维特性，无需非常专业技能即可实现存储系统的管理维护，简单易用高可靠。此外，ONEStor系统可部署于标准X86服务器，对硬件无特殊要求，真正实现软件定义存储。</w:t>
      </w:r>
    </w:p>
    <w:p>
      <w:pPr>
        <w:rPr>
          <w:sz w:val="24"/>
          <w:szCs w:val="24"/>
        </w:rPr>
      </w:pPr>
      <w:r>
        <w:rPr>
          <w:sz w:val="24"/>
          <w:szCs w:val="24"/>
        </w:rPr>
        <w:drawing>
          <wp:inline distT="0" distB="0" distL="0" distR="0">
            <wp:extent cx="5837555" cy="3126105"/>
            <wp:effectExtent l="0" t="0" r="0" b="0"/>
            <wp:docPr id="2065" name="图片 2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 name="图片 2065"/>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a:xfrm>
                      <a:off x="0" y="0"/>
                      <a:ext cx="5837555" cy="3126105"/>
                    </a:xfrm>
                    <a:prstGeom prst="rect">
                      <a:avLst/>
                    </a:prstGeom>
                    <a:noFill/>
                    <a:ln>
                      <a:noFill/>
                    </a:ln>
                  </pic:spPr>
                </pic:pic>
              </a:graphicData>
            </a:graphic>
          </wp:inline>
        </w:drawing>
      </w:r>
      <w:bookmarkStart w:id="60" w:name="_Toc430262975"/>
    </w:p>
    <w:p>
      <w:pPr>
        <w:pStyle w:val="7"/>
        <w:spacing w:line="360" w:lineRule="auto"/>
        <w:rPr>
          <w:sz w:val="24"/>
          <w:szCs w:val="24"/>
        </w:rPr>
      </w:pPr>
      <w:r>
        <w:rPr>
          <w:sz w:val="24"/>
          <w:szCs w:val="24"/>
        </w:rPr>
        <w:t>UIS ONEStor</w:t>
      </w:r>
      <w:r>
        <w:rPr>
          <w:rFonts w:hint="eastAsia"/>
          <w:sz w:val="24"/>
          <w:szCs w:val="24"/>
        </w:rPr>
        <w:t>部分特性</w:t>
      </w:r>
    </w:p>
    <w:p>
      <w:pPr>
        <w:spacing w:line="360" w:lineRule="auto"/>
        <w:rPr>
          <w:sz w:val="24"/>
          <w:szCs w:val="24"/>
        </w:rPr>
      </w:pPr>
      <w:r>
        <w:rPr>
          <w:rFonts w:hint="eastAsia"/>
          <w:sz w:val="24"/>
          <w:szCs w:val="24"/>
        </w:rPr>
        <w:t>1、领先的分布式架构</w:t>
      </w:r>
    </w:p>
    <w:p>
      <w:pPr>
        <w:spacing w:line="360" w:lineRule="auto"/>
        <w:rPr>
          <w:sz w:val="24"/>
          <w:szCs w:val="24"/>
        </w:rPr>
      </w:pPr>
      <w:r>
        <w:rPr>
          <w:rFonts w:hint="eastAsia"/>
          <w:sz w:val="24"/>
          <w:szCs w:val="24"/>
        </w:rPr>
        <w:t xml:space="preserve">H3C </w:t>
      </w:r>
      <w:r>
        <w:rPr>
          <w:sz w:val="24"/>
          <w:szCs w:val="24"/>
        </w:rPr>
        <w:t xml:space="preserve">UIS </w:t>
      </w:r>
      <w:r>
        <w:rPr>
          <w:rFonts w:hint="eastAsia"/>
          <w:sz w:val="24"/>
          <w:szCs w:val="24"/>
        </w:rPr>
        <w:t>ONEStor存储软件的采用全分布式的架构：分布式管理集群，分布式哈希数据分布算法，分布式无状态客户端、分布式Cache等，这种架构为存储系统的可靠性、可用性、自动运维、高性能等方面提供了有力保证。其系统架构组成如下图所示：</w:t>
      </w:r>
    </w:p>
    <w:p>
      <w:pPr>
        <w:spacing w:line="360" w:lineRule="auto"/>
        <w:rPr>
          <w:sz w:val="24"/>
          <w:szCs w:val="24"/>
        </w:rPr>
      </w:pPr>
      <w:r>
        <w:rPr>
          <w:sz w:val="24"/>
          <w:szCs w:val="24"/>
        </w:rPr>
        <w:drawing>
          <wp:inline distT="0" distB="0" distL="0" distR="0">
            <wp:extent cx="6153150" cy="3281045"/>
            <wp:effectExtent l="0" t="0" r="0" b="0"/>
            <wp:docPr id="226" name="图片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图片 226"/>
                    <pic:cNvPicPr>
                      <a:picLocks noChangeAspect="1"/>
                    </pic:cNvPicPr>
                  </pic:nvPicPr>
                  <pic:blipFill>
                    <a:blip r:embed="rId50"/>
                    <a:stretch>
                      <a:fillRect/>
                    </a:stretch>
                  </pic:blipFill>
                  <pic:spPr>
                    <a:xfrm>
                      <a:off x="0" y="0"/>
                      <a:ext cx="6176110" cy="3293411"/>
                    </a:xfrm>
                    <a:prstGeom prst="rect">
                      <a:avLst/>
                    </a:prstGeom>
                  </pic:spPr>
                </pic:pic>
              </a:graphicData>
            </a:graphic>
          </wp:inline>
        </w:drawing>
      </w:r>
    </w:p>
    <w:p>
      <w:pPr>
        <w:spacing w:line="360" w:lineRule="auto"/>
        <w:rPr>
          <w:sz w:val="24"/>
          <w:szCs w:val="24"/>
        </w:rPr>
      </w:pPr>
      <w:r>
        <w:rPr>
          <w:rFonts w:hint="eastAsia"/>
          <w:sz w:val="24"/>
          <w:szCs w:val="24"/>
        </w:rPr>
        <w:t>上图中，ONEStor逻辑上可分为三部分：OSD、Monitor、Client。在实际部署中，这些逻辑组件可灵活部署，也就是说既可以部署在相同的物理服务器上，也可以根据性能和可靠性等方面的考虑，部署在不同的硬件设备上。下面对每一部分作一简要说明。</w:t>
      </w:r>
    </w:p>
    <w:p>
      <w:pPr>
        <w:spacing w:line="360" w:lineRule="auto"/>
        <w:rPr>
          <w:sz w:val="24"/>
          <w:szCs w:val="24"/>
        </w:rPr>
      </w:pPr>
      <w:r>
        <w:rPr>
          <w:sz w:val="24"/>
          <w:szCs w:val="24"/>
        </w:rPr>
        <w:t>OSD</w:t>
      </w:r>
      <w:r>
        <w:rPr>
          <w:rFonts w:hint="eastAsia"/>
          <w:sz w:val="24"/>
          <w:szCs w:val="24"/>
        </w:rPr>
        <w:t>：</w:t>
      </w:r>
      <w:r>
        <w:rPr>
          <w:sz w:val="24"/>
          <w:szCs w:val="24"/>
        </w:rPr>
        <w:t>Object-based Storage Device</w:t>
      </w:r>
    </w:p>
    <w:p>
      <w:pPr>
        <w:spacing w:line="360" w:lineRule="auto"/>
        <w:rPr>
          <w:sz w:val="24"/>
          <w:szCs w:val="24"/>
        </w:rPr>
      </w:pPr>
      <w:r>
        <w:rPr>
          <w:rFonts w:hint="eastAsia"/>
          <w:sz w:val="24"/>
          <w:szCs w:val="24"/>
        </w:rPr>
        <w:t>OSD由系统部分和守护进程（OSD deamon）两部分组成。OSD系统部分可看作安装了操作系统和文件系统的计算机，其硬件部分包括处理器、内存、硬盘以及网卡等。守护进程即运行在内存中的程序。 在实际应用中，通常将每块硬盘（SSD或HDD）对应一个OSD，并将其视为OSD的硬盘部分，其余处理器、内存、网卡等在多个OSD之间进行复用。ONEStor存储集群中的用户都保存在这些OSD中。OSD deamon负责完成OSD的所有逻辑功能，包括与monitor和其他OSD（事实上是其他OSD的deamon）通信以维护更新系统状态，与其他OSD共同完成数据的存储和维护，与client通信完成各种数据对象操作等等。</w:t>
      </w:r>
    </w:p>
    <w:p>
      <w:pPr>
        <w:spacing w:line="360" w:lineRule="auto"/>
        <w:rPr>
          <w:sz w:val="24"/>
          <w:szCs w:val="24"/>
        </w:rPr>
      </w:pPr>
      <w:r>
        <w:rPr>
          <w:sz w:val="24"/>
          <w:szCs w:val="24"/>
        </w:rPr>
        <w:t>Monitor</w:t>
      </w:r>
      <w:r>
        <w:rPr>
          <w:rFonts w:hint="eastAsia"/>
          <w:sz w:val="24"/>
          <w:szCs w:val="24"/>
        </w:rPr>
        <w:t>：</w:t>
      </w:r>
    </w:p>
    <w:p>
      <w:pPr>
        <w:spacing w:line="360" w:lineRule="auto"/>
        <w:rPr>
          <w:sz w:val="24"/>
          <w:szCs w:val="24"/>
        </w:rPr>
      </w:pPr>
      <w:r>
        <w:rPr>
          <w:rFonts w:hint="eastAsia"/>
          <w:sz w:val="24"/>
          <w:szCs w:val="24"/>
        </w:rPr>
        <w:t>Monitor是集群监控节点。Monitor持有cluster map信息。所谓Cluster Map，粗略的说就是关于集群本身的逻辑状态和存储策略的数据表示。 ONEStor Cluster Map包括Monitor map、osd map、pg map、crush map等，这些map构成了集群的元数据。总之，可以认为Monitor持有存储集群的一些控制信息，并且这些map信息是轻量级的，只有在集群的物理设备（如主机、硬盘）和存储策略发生变化时map信息才发生改变。</w:t>
      </w:r>
    </w:p>
    <w:p>
      <w:pPr>
        <w:spacing w:line="360" w:lineRule="auto"/>
        <w:rPr>
          <w:sz w:val="24"/>
          <w:szCs w:val="24"/>
        </w:rPr>
      </w:pPr>
      <w:r>
        <w:rPr>
          <w:sz w:val="24"/>
          <w:szCs w:val="24"/>
        </w:rPr>
        <w:t>Client</w:t>
      </w:r>
      <w:r>
        <w:rPr>
          <w:rFonts w:hint="eastAsia"/>
          <w:sz w:val="24"/>
          <w:szCs w:val="24"/>
        </w:rPr>
        <w:t>：</w:t>
      </w:r>
    </w:p>
    <w:p>
      <w:pPr>
        <w:spacing w:line="360" w:lineRule="auto"/>
        <w:rPr>
          <w:sz w:val="24"/>
          <w:szCs w:val="24"/>
        </w:rPr>
      </w:pPr>
      <w:r>
        <w:rPr>
          <w:rFonts w:hint="eastAsia"/>
          <w:sz w:val="24"/>
          <w:szCs w:val="24"/>
        </w:rPr>
        <w:t>这里的Client可以看出外部系统获取存储服务的网关设备。client通过与OSD或者Monitor的交互获取cluster map，然后直接在本地进行计算，得出数据的存储位置后，便直接与对应的OSD通信，完成数据的各种操作。在此过程中，客户端可以不依赖于任何元数据服务器，不进行任何查表操作，便完成数据访问流程。这一点正是ONEStor分布式存储系统可以实现扩展性的重要保证。</w:t>
      </w:r>
    </w:p>
    <w:p>
      <w:pPr>
        <w:spacing w:line="360" w:lineRule="auto"/>
        <w:rPr>
          <w:sz w:val="24"/>
          <w:szCs w:val="24"/>
        </w:rPr>
      </w:pPr>
      <w:r>
        <w:rPr>
          <w:rFonts w:hint="eastAsia"/>
          <w:sz w:val="24"/>
          <w:szCs w:val="24"/>
        </w:rPr>
        <w:t>客户的数据到达Client后，如何存储到OSD上，其过程大致如下图所示：</w:t>
      </w:r>
    </w:p>
    <w:p>
      <w:pPr>
        <w:spacing w:line="360" w:lineRule="auto"/>
        <w:rPr>
          <w:sz w:val="24"/>
          <w:szCs w:val="24"/>
        </w:rPr>
      </w:pPr>
      <w:r>
        <w:rPr>
          <w:sz w:val="24"/>
          <w:szCs w:val="24"/>
        </w:rPr>
        <w:drawing>
          <wp:inline distT="0" distB="0" distL="0" distR="0">
            <wp:extent cx="6120765" cy="2897505"/>
            <wp:effectExtent l="0" t="0" r="0" b="0"/>
            <wp:docPr id="227" name="图片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图片 227"/>
                    <pic:cNvPicPr>
                      <a:picLocks noChangeAspect="1"/>
                    </pic:cNvPicPr>
                  </pic:nvPicPr>
                  <pic:blipFill>
                    <a:blip r:embed="rId51"/>
                    <a:stretch>
                      <a:fillRect/>
                    </a:stretch>
                  </pic:blipFill>
                  <pic:spPr>
                    <a:xfrm>
                      <a:off x="0" y="0"/>
                      <a:ext cx="6120765" cy="2897505"/>
                    </a:xfrm>
                    <a:prstGeom prst="rect">
                      <a:avLst/>
                    </a:prstGeom>
                  </pic:spPr>
                </pic:pic>
              </a:graphicData>
            </a:graphic>
          </wp:inline>
        </w:drawing>
      </w:r>
    </w:p>
    <w:p>
      <w:pPr>
        <w:spacing w:line="360" w:lineRule="auto"/>
        <w:rPr>
          <w:sz w:val="24"/>
          <w:szCs w:val="24"/>
        </w:rPr>
      </w:pPr>
      <w:r>
        <w:rPr>
          <w:rFonts w:hint="eastAsia"/>
          <w:sz w:val="24"/>
          <w:szCs w:val="24"/>
        </w:rPr>
        <w:t>首先对上图中的一些名词进行简要描述：</w:t>
      </w:r>
    </w:p>
    <w:p>
      <w:pPr>
        <w:spacing w:line="360" w:lineRule="auto"/>
        <w:rPr>
          <w:sz w:val="24"/>
          <w:szCs w:val="24"/>
        </w:rPr>
      </w:pPr>
      <w:r>
        <w:rPr>
          <w:rFonts w:hint="eastAsia"/>
          <w:sz w:val="24"/>
          <w:szCs w:val="24"/>
        </w:rPr>
        <w:t>File：此处的file是对用户或者应用而言的，指用户或者应用需要存储或者访问的文件。如果将ONEStor作为对象存储的后端，这个file也就对应于应用中的“对象”，也就是用户直接操作的“对象”。</w:t>
      </w:r>
    </w:p>
    <w:p>
      <w:pPr>
        <w:spacing w:line="360" w:lineRule="auto"/>
        <w:rPr>
          <w:sz w:val="24"/>
          <w:szCs w:val="24"/>
        </w:rPr>
      </w:pPr>
      <w:r>
        <w:rPr>
          <w:rFonts w:hint="eastAsia"/>
          <w:sz w:val="24"/>
          <w:szCs w:val="24"/>
        </w:rPr>
        <w:t>Object：此处的object是ONEStor内部定义的“对象”。object的大小用户可以自行配置（在配置文件中设置，通常为2MB或4MB）。当上层应用向ONEStor集群存入size较大的file时，需要将file切分成统一大小的一系列 object（最后一个的大小可以不同）进行存储。为避免混淆，在本文中将尽量避免使用中文的“对象”这一名词，而直接使用file或object进行说明。</w:t>
      </w:r>
    </w:p>
    <w:p>
      <w:pPr>
        <w:spacing w:line="360" w:lineRule="auto"/>
        <w:rPr>
          <w:sz w:val="24"/>
          <w:szCs w:val="24"/>
        </w:rPr>
      </w:pPr>
      <w:r>
        <w:rPr>
          <w:rFonts w:hint="eastAsia"/>
          <w:sz w:val="24"/>
          <w:szCs w:val="24"/>
        </w:rPr>
        <w:t>PG：（Placement Group）PG是一个逻辑概念，其作用是对object的存储进行组织和位置映射。这样便在object和osd之间提供一个中间映射层，即object-&gt;pg-&gt;osd。某个object通过算法映射到某个确定的pg，这个pg再通过某种算法映射到一组确定的osd（其个数和副本或纠删码配置有关，具体见后面章节描述）。从数量上看，一般object数量远大与pg数量，pg数量（一般比osd大两个数量级）远大于osd数量。PG的概念类似于一致性哈希算法中的虚拟节点，引入PG后，可以在总体上大大减少每个osd相关的元数据的数量。</w:t>
      </w:r>
    </w:p>
    <w:p>
      <w:pPr>
        <w:spacing w:line="360" w:lineRule="auto"/>
        <w:rPr>
          <w:sz w:val="24"/>
          <w:szCs w:val="24"/>
        </w:rPr>
      </w:pPr>
      <w:r>
        <w:rPr>
          <w:rFonts w:hint="eastAsia"/>
          <w:sz w:val="24"/>
          <w:szCs w:val="24"/>
        </w:rPr>
        <w:t>下面对上图中的寻址流程进行简要说明。</w:t>
      </w:r>
    </w:p>
    <w:p>
      <w:pPr>
        <w:spacing w:line="360" w:lineRule="auto"/>
        <w:rPr>
          <w:sz w:val="24"/>
          <w:szCs w:val="24"/>
        </w:rPr>
      </w:pPr>
      <w:r>
        <w:rPr>
          <w:rFonts w:hint="eastAsia"/>
          <w:sz w:val="24"/>
          <w:szCs w:val="24"/>
        </w:rPr>
        <w:t>1， File-&gt;Object映射：（ino,ono）-&gt;oid</w:t>
      </w:r>
    </w:p>
    <w:p>
      <w:pPr>
        <w:spacing w:line="360" w:lineRule="auto"/>
        <w:rPr>
          <w:sz w:val="24"/>
          <w:szCs w:val="24"/>
        </w:rPr>
      </w:pPr>
      <w:r>
        <w:rPr>
          <w:rFonts w:hint="eastAsia"/>
          <w:sz w:val="24"/>
          <w:szCs w:val="24"/>
        </w:rPr>
        <w:t>这个映射比较简单，就是将用户要操作的file，映射为ONEStor能够处理的object。其本质就是按照配置文件定义的object大小对file进行切分，相当于RAID中的条带化过程。这种切分的好处有二：一是让大小不限的file变成size一致、可以被存储集群高效管理的object；二是让对单一file实施的串行处理变为对多个object实施的并行化处理，以提高读写性能。</w:t>
      </w:r>
    </w:p>
    <w:p>
      <w:pPr>
        <w:spacing w:line="360" w:lineRule="auto"/>
        <w:rPr>
          <w:sz w:val="24"/>
          <w:szCs w:val="24"/>
        </w:rPr>
      </w:pPr>
      <w:r>
        <w:rPr>
          <w:rFonts w:hint="eastAsia"/>
          <w:sz w:val="24"/>
          <w:szCs w:val="24"/>
        </w:rPr>
        <w:t>对于要操作的File，Client将会从Monitor获得全局唯一的inode number，即ino。File切分后产生的object将获得唯一（在File的范围内）的object number，即ono。Ono的编号从0开始，依次累加。oid就是将ono连缀在ino之后得到的。容易看出，由于ino的全局唯一性（通过Monitor获得），oid同样具备全局唯一性。</w:t>
      </w:r>
    </w:p>
    <w:p>
      <w:pPr>
        <w:spacing w:line="360" w:lineRule="auto"/>
        <w:rPr>
          <w:sz w:val="24"/>
          <w:szCs w:val="24"/>
        </w:rPr>
      </w:pPr>
      <w:r>
        <w:rPr>
          <w:rFonts w:hint="eastAsia"/>
          <w:sz w:val="24"/>
          <w:szCs w:val="24"/>
        </w:rPr>
        <w:t>2， Object -&gt; PG映射</w:t>
      </w:r>
    </w:p>
    <w:p>
      <w:pPr>
        <w:spacing w:line="360" w:lineRule="auto"/>
        <w:rPr>
          <w:sz w:val="24"/>
          <w:szCs w:val="24"/>
        </w:rPr>
      </w:pPr>
      <w:r>
        <w:rPr>
          <w:rFonts w:hint="eastAsia"/>
          <w:sz w:val="24"/>
          <w:szCs w:val="24"/>
        </w:rPr>
        <w:t>在file被映射为一个或多个object之后，就需要将每个object独立地映射到一个PG中去。这个映射过程也很简单，其计算公式是：</w:t>
      </w:r>
    </w:p>
    <w:p>
      <w:pPr>
        <w:spacing w:line="360" w:lineRule="auto"/>
        <w:rPr>
          <w:sz w:val="24"/>
          <w:szCs w:val="24"/>
        </w:rPr>
      </w:pPr>
      <w:r>
        <w:rPr>
          <w:rFonts w:hint="eastAsia"/>
          <w:sz w:val="24"/>
          <w:szCs w:val="24"/>
        </w:rPr>
        <w:t xml:space="preserve">hash(oid) &amp; mask -&gt; pgid </w:t>
      </w:r>
    </w:p>
    <w:p>
      <w:pPr>
        <w:spacing w:line="360" w:lineRule="auto"/>
        <w:rPr>
          <w:sz w:val="24"/>
          <w:szCs w:val="24"/>
        </w:rPr>
      </w:pPr>
      <w:r>
        <w:rPr>
          <w:rFonts w:hint="eastAsia"/>
          <w:sz w:val="24"/>
          <w:szCs w:val="24"/>
        </w:rPr>
        <w:t>或者更加明显的表示成：</w:t>
      </w:r>
    </w:p>
    <w:p>
      <w:pPr>
        <w:spacing w:line="360" w:lineRule="auto"/>
        <w:rPr>
          <w:sz w:val="24"/>
          <w:szCs w:val="24"/>
        </w:rPr>
      </w:pPr>
      <w:r>
        <w:rPr>
          <w:sz w:val="24"/>
          <w:szCs w:val="24"/>
        </w:rPr>
        <w:t>hash(oid) mod (pgno) -&gt;</w:t>
      </w:r>
      <w:r>
        <w:rPr>
          <w:rFonts w:hint="eastAsia"/>
          <w:sz w:val="24"/>
          <w:szCs w:val="24"/>
        </w:rPr>
        <w:t xml:space="preserve"> </w:t>
      </w:r>
      <w:r>
        <w:rPr>
          <w:sz w:val="24"/>
          <w:szCs w:val="24"/>
        </w:rPr>
        <w:t>pgid</w:t>
      </w:r>
    </w:p>
    <w:p>
      <w:pPr>
        <w:spacing w:line="360" w:lineRule="auto"/>
        <w:rPr>
          <w:sz w:val="24"/>
          <w:szCs w:val="24"/>
        </w:rPr>
      </w:pPr>
      <w:r>
        <w:rPr>
          <w:rFonts w:hint="eastAsia"/>
          <w:sz w:val="24"/>
          <w:szCs w:val="24"/>
        </w:rPr>
        <w:t>上式中，pgno表示配置的pg数量，一般为2的整数次幂。 整个计算由两步组成。首先是使用ONEStor系统指定的一个特定的哈希函数计算oid的哈希值（这个值将具备近似均匀分布的特性）。然后，将这个伪随机值对pgno取模，就得到了pgid。这样，pgid的取值范围是从0到pgno-1。由哈希函数的伪随机特性，容易想见，大量的oid将近似均匀地映射到不同的pgid上。</w:t>
      </w:r>
    </w:p>
    <w:p>
      <w:pPr>
        <w:spacing w:line="360" w:lineRule="auto"/>
        <w:rPr>
          <w:sz w:val="24"/>
          <w:szCs w:val="24"/>
        </w:rPr>
      </w:pPr>
      <w:r>
        <w:rPr>
          <w:rFonts w:hint="eastAsia"/>
          <w:sz w:val="24"/>
          <w:szCs w:val="24"/>
        </w:rPr>
        <w:t>3， PG -&gt; OSD映射</w:t>
      </w:r>
    </w:p>
    <w:p>
      <w:pPr>
        <w:spacing w:line="360" w:lineRule="auto"/>
        <w:rPr>
          <w:sz w:val="24"/>
          <w:szCs w:val="24"/>
        </w:rPr>
      </w:pPr>
      <w:r>
        <w:rPr>
          <w:rFonts w:hint="eastAsia"/>
          <w:sz w:val="24"/>
          <w:szCs w:val="24"/>
        </w:rPr>
        <w:t>第三次映射就是将作为object的逻辑组织单元的PG通过CRUSH算法映射到一组OSD集合。集合中具体的OSD个数一般为数据副本的个数。比如，用户配置了3副本，那么每个pg将映射到3个osd。多副本可以大大提高数据的可靠性（具体可见后面相关章节的说明）。相比于 “object -&gt; PG”映射过程，CRUSH算法要复杂的多。</w:t>
      </w:r>
    </w:p>
    <w:p>
      <w:pPr>
        <w:spacing w:line="360" w:lineRule="auto"/>
        <w:rPr>
          <w:sz w:val="24"/>
          <w:szCs w:val="24"/>
        </w:rPr>
      </w:pPr>
      <w:r>
        <w:rPr>
          <w:rFonts w:hint="eastAsia"/>
          <w:sz w:val="24"/>
          <w:szCs w:val="24"/>
        </w:rPr>
        <w:t>通常情况下，一个好的分布式算法至少满足如下的要求：</w:t>
      </w:r>
    </w:p>
    <w:p>
      <w:pPr>
        <w:spacing w:line="360" w:lineRule="auto"/>
        <w:rPr>
          <w:sz w:val="24"/>
          <w:szCs w:val="24"/>
        </w:rPr>
      </w:pPr>
      <w:r>
        <w:rPr>
          <w:rFonts w:hint="eastAsia"/>
          <w:sz w:val="24"/>
          <w:szCs w:val="24"/>
        </w:rPr>
        <w:t>1，数据的放置位置是Client计算出来的，而不是向Server查出来的</w:t>
      </w:r>
    </w:p>
    <w:p>
      <w:pPr>
        <w:spacing w:line="360" w:lineRule="auto"/>
        <w:rPr>
          <w:sz w:val="24"/>
          <w:szCs w:val="24"/>
        </w:rPr>
      </w:pPr>
      <w:r>
        <w:rPr>
          <w:rFonts w:hint="eastAsia"/>
          <w:sz w:val="24"/>
          <w:szCs w:val="24"/>
        </w:rPr>
        <w:t>2，数据在存储体上满足概率均匀分布</w:t>
      </w:r>
    </w:p>
    <w:p>
      <w:pPr>
        <w:spacing w:line="360" w:lineRule="auto"/>
        <w:rPr>
          <w:sz w:val="24"/>
          <w:szCs w:val="24"/>
        </w:rPr>
      </w:pPr>
      <w:r>
        <w:rPr>
          <w:rFonts w:hint="eastAsia"/>
          <w:sz w:val="24"/>
          <w:szCs w:val="24"/>
        </w:rPr>
        <w:t>3，存储体动态变化时数据重分布时引入的数据迁移量达到最优或者次优</w:t>
      </w:r>
    </w:p>
    <w:p>
      <w:pPr>
        <w:spacing w:line="360" w:lineRule="auto"/>
        <w:rPr>
          <w:sz w:val="24"/>
          <w:szCs w:val="24"/>
        </w:rPr>
      </w:pPr>
      <w:r>
        <w:rPr>
          <w:rFonts w:hint="eastAsia"/>
          <w:sz w:val="24"/>
          <w:szCs w:val="24"/>
        </w:rPr>
        <w:t>除了这3点基本要求外，一个好的算法还应该满足:</w:t>
      </w:r>
    </w:p>
    <w:p>
      <w:pPr>
        <w:spacing w:line="360" w:lineRule="auto"/>
        <w:rPr>
          <w:sz w:val="24"/>
          <w:szCs w:val="24"/>
        </w:rPr>
      </w:pPr>
      <w:r>
        <w:rPr>
          <w:rFonts w:hint="eastAsia"/>
          <w:sz w:val="24"/>
          <w:szCs w:val="24"/>
        </w:rPr>
        <w:t>4，可以基于指定的策略放置副本: 用于故障域隔离或其它要求</w:t>
      </w:r>
    </w:p>
    <w:p>
      <w:pPr>
        <w:spacing w:line="360" w:lineRule="auto"/>
        <w:rPr>
          <w:sz w:val="24"/>
          <w:szCs w:val="24"/>
        </w:rPr>
      </w:pPr>
      <w:r>
        <w:rPr>
          <w:rFonts w:hint="eastAsia"/>
          <w:sz w:val="24"/>
          <w:szCs w:val="24"/>
        </w:rPr>
        <w:t>5，在存储体引入权“weight”的概念,以便对磁盘容量/速度等进行区分</w:t>
      </w:r>
    </w:p>
    <w:p>
      <w:pPr>
        <w:spacing w:line="360" w:lineRule="auto"/>
        <w:rPr>
          <w:sz w:val="24"/>
          <w:szCs w:val="24"/>
        </w:rPr>
      </w:pPr>
      <w:r>
        <w:rPr>
          <w:rFonts w:hint="eastAsia"/>
          <w:sz w:val="24"/>
          <w:szCs w:val="24"/>
        </w:rPr>
        <w:t>CRUSH算法是ONEStor的核心算法，完全满足上面提到的5点要求，限于篇幅，此处不对算法本身进行描述。当系统中的OSD状态、数量发生变化时，cluster map亦随之变化，而这种变化将会影响到PG与OSD之间的映射，从而使数据重新再OSD之间分布。</w:t>
      </w:r>
    </w:p>
    <w:p>
      <w:pPr>
        <w:spacing w:line="360" w:lineRule="auto"/>
        <w:rPr>
          <w:sz w:val="24"/>
          <w:szCs w:val="24"/>
        </w:rPr>
      </w:pPr>
      <w:r>
        <w:rPr>
          <w:rFonts w:hint="eastAsia"/>
          <w:sz w:val="24"/>
          <w:szCs w:val="24"/>
        </w:rPr>
        <w:t>由此可见，任何组件，只要拥有cluster map，都可以独立计算出每个object所在的位置(去中心化)。而对于cluster map，只有当删除添加设备或设备故障时，这些元数据才需要更新，更新的cluster map会及时更新给client和OSD，以便client和OSD重新计算数据的存储位置。</w:t>
      </w:r>
    </w:p>
    <w:p>
      <w:pPr>
        <w:spacing w:line="360" w:lineRule="auto"/>
        <w:rPr>
          <w:sz w:val="24"/>
          <w:szCs w:val="24"/>
        </w:rPr>
      </w:pPr>
      <w:bookmarkStart w:id="61" w:name="_Toc369506864"/>
      <w:bookmarkStart w:id="62" w:name="_Toc369533839"/>
      <w:bookmarkStart w:id="63" w:name="_Toc369364079"/>
      <w:bookmarkStart w:id="64" w:name="_Toc369361982"/>
      <w:bookmarkStart w:id="65" w:name="_Toc369356829"/>
      <w:bookmarkStart w:id="66" w:name="_Toc369519672"/>
      <w:bookmarkStart w:id="67" w:name="_Toc430262976"/>
      <w:bookmarkStart w:id="68" w:name="_Toc381628623"/>
      <w:r>
        <w:rPr>
          <w:rFonts w:hint="eastAsia"/>
          <w:sz w:val="24"/>
          <w:szCs w:val="24"/>
        </w:rPr>
        <w:t>2、自动化运维</w:t>
      </w:r>
    </w:p>
    <w:p>
      <w:pPr>
        <w:spacing w:line="360" w:lineRule="auto"/>
        <w:rPr>
          <w:sz w:val="24"/>
          <w:szCs w:val="24"/>
        </w:rPr>
      </w:pPr>
      <w:r>
        <w:rPr>
          <w:rFonts w:hint="eastAsia"/>
          <w:sz w:val="24"/>
          <w:szCs w:val="24"/>
        </w:rPr>
        <w:t>自动化运维主要体现在如下几个方面：</w:t>
      </w:r>
    </w:p>
    <w:p>
      <w:pPr>
        <w:spacing w:line="360" w:lineRule="auto"/>
        <w:rPr>
          <w:sz w:val="24"/>
          <w:szCs w:val="24"/>
        </w:rPr>
      </w:pPr>
      <w:r>
        <w:rPr>
          <w:rFonts w:hint="eastAsia"/>
          <w:sz w:val="24"/>
          <w:szCs w:val="24"/>
        </w:rPr>
        <w:t>（1）存储集群快速部署，包括批量部署、单节点增减、单磁盘增减等。</w:t>
      </w:r>
    </w:p>
    <w:p>
      <w:pPr>
        <w:spacing w:line="360" w:lineRule="auto"/>
        <w:rPr>
          <w:sz w:val="24"/>
          <w:szCs w:val="24"/>
        </w:rPr>
      </w:pPr>
      <w:r>
        <w:rPr>
          <w:rFonts w:hint="eastAsia"/>
          <w:sz w:val="24"/>
          <w:szCs w:val="24"/>
        </w:rPr>
        <w:t>（2）设置监控报警系统，发生故障时能快速界定问题、排查故障。</w:t>
      </w:r>
    </w:p>
    <w:p>
      <w:pPr>
        <w:spacing w:line="360" w:lineRule="auto"/>
        <w:rPr>
          <w:sz w:val="24"/>
          <w:szCs w:val="24"/>
        </w:rPr>
      </w:pPr>
      <w:r>
        <w:rPr>
          <w:rFonts w:hint="eastAsia"/>
          <w:sz w:val="24"/>
          <w:szCs w:val="24"/>
        </w:rPr>
        <w:t>（3）根据硬件能力，灵活地对集群中的节点进行灵活配置。</w:t>
      </w:r>
    </w:p>
    <w:p>
      <w:pPr>
        <w:spacing w:line="360" w:lineRule="auto"/>
        <w:rPr>
          <w:sz w:val="24"/>
          <w:szCs w:val="24"/>
        </w:rPr>
      </w:pPr>
      <w:r>
        <w:rPr>
          <w:rFonts w:hint="eastAsia"/>
          <w:sz w:val="24"/>
          <w:szCs w:val="24"/>
        </w:rPr>
        <w:t>（4）允许用户定制数据分布策略，方便地进行故障域隔离，以及对数据存储位置进行灵活选择。</w:t>
      </w:r>
    </w:p>
    <w:p>
      <w:pPr>
        <w:spacing w:line="360" w:lineRule="auto"/>
        <w:rPr>
          <w:sz w:val="24"/>
          <w:szCs w:val="24"/>
        </w:rPr>
      </w:pPr>
      <w:r>
        <w:rPr>
          <w:rFonts w:hint="eastAsia"/>
          <w:sz w:val="24"/>
          <w:szCs w:val="24"/>
        </w:rPr>
        <w:t>（5）在增删存储介质，或存储介质发生故障时，自动进行数据均衡。保证集群数据的高可用性。</w:t>
      </w:r>
    </w:p>
    <w:p>
      <w:pPr>
        <w:spacing w:line="360" w:lineRule="auto"/>
        <w:rPr>
          <w:sz w:val="24"/>
          <w:szCs w:val="24"/>
        </w:rPr>
      </w:pPr>
      <w:r>
        <w:rPr>
          <w:rFonts w:hint="eastAsia"/>
          <w:sz w:val="24"/>
          <w:szCs w:val="24"/>
        </w:rPr>
        <w:t>(6)在系统平衡数据（例如系统扩容或者存储节点、磁盘发生故障）的过程中，为保证用户IO，ONEStor存储系统支持IO优先级控制和Qos保证能力。</w:t>
      </w:r>
    </w:p>
    <w:p>
      <w:pPr>
        <w:spacing w:line="360" w:lineRule="auto"/>
        <w:rPr>
          <w:sz w:val="24"/>
          <w:szCs w:val="24"/>
        </w:rPr>
      </w:pPr>
      <w:r>
        <w:rPr>
          <w:rFonts w:hint="eastAsia"/>
          <w:sz w:val="24"/>
          <w:szCs w:val="24"/>
        </w:rPr>
        <w:t>对于（3），ONEStor系统可以根据用户需求灵活地部署Monitor节点和Client节点。一方面，这些节点既可以部署在单独的物理服务器上，也可以部署在和OSD相同的物理节点上。另一方面，Monitor和Client的节点可以根据用户的需求灵活地调整。比如为了可靠性保证，至少需要部署3个Monitor节点；为了保证对象存储网关的性能，需要部署过个RGW（Client）节点。</w:t>
      </w:r>
    </w:p>
    <w:p>
      <w:pPr>
        <w:spacing w:line="360" w:lineRule="auto"/>
        <w:rPr>
          <w:sz w:val="24"/>
          <w:szCs w:val="24"/>
        </w:rPr>
      </w:pPr>
      <w:r>
        <w:rPr>
          <w:rFonts w:hint="eastAsia"/>
          <w:sz w:val="24"/>
          <w:szCs w:val="24"/>
        </w:rPr>
        <w:t>对于（4），用户的需求主要体现在存储策略上，比如在选用副本策略时，用户可能希望不同数据副本存储在不同机架上面的主机上；或者主副本存储在某个机架的主机上，其它副本存储在另外机架的主机上；或者主副本存储在SSD上，其它副本存储在HDD上。诸如此类等等。这些需要都可以通过配置cluster map中的rule set进行灵活地配置。</w:t>
      </w:r>
    </w:p>
    <w:p>
      <w:pPr>
        <w:spacing w:line="360" w:lineRule="auto"/>
        <w:rPr>
          <w:sz w:val="24"/>
          <w:szCs w:val="24"/>
        </w:rPr>
      </w:pPr>
      <w:r>
        <w:rPr>
          <w:rFonts w:hint="eastAsia"/>
          <w:sz w:val="24"/>
          <w:szCs w:val="24"/>
        </w:rPr>
        <w:t>对于（5），在增删存储介质，或存储介质发生故障时，系统会及时进行检测。比如，在磁盘发生故障时，ONEStor会利用损坏数据在其他存储体上的副本进行复制，并将复制的数据保存在健康的存储体上；在增加磁盘时，同样会把其他存储体的数据安排容量比例重新分布到新磁盘，使集群的数据达到均衡。在上述过程中，完全不需要人工干预。</w:t>
      </w:r>
    </w:p>
    <w:p>
      <w:pPr>
        <w:spacing w:line="360" w:lineRule="auto"/>
        <w:rPr>
          <w:sz w:val="24"/>
          <w:szCs w:val="24"/>
        </w:rPr>
      </w:pPr>
      <w:r>
        <w:rPr>
          <w:rFonts w:hint="eastAsia"/>
          <w:sz w:val="24"/>
          <w:szCs w:val="24"/>
        </w:rPr>
        <w:t>对于（6），我们知道，在系统扩容或者存储节点、磁盘故障过程中，为保证数据的可靠性，系统会自动进行数据平衡。为了尽快完成数据平衡，往往会沾满每个存储节点的带宽和IO能力，这样做的好处是会使平衡时间最短，坏处是此时前端用户的IO请求会得不到满足。在某些业务场景下，这时用户无法接受的。为此，ONEStor存储系统实现了IO优先级和Qos控制机制，可以对前端用户网络流量和后端存储网络流量进行控制，保证一定比例的用户IO得到满足。</w:t>
      </w:r>
    </w:p>
    <w:p>
      <w:pPr>
        <w:spacing w:line="360" w:lineRule="auto"/>
        <w:rPr>
          <w:sz w:val="24"/>
          <w:szCs w:val="24"/>
        </w:rPr>
      </w:pPr>
      <w:r>
        <w:rPr>
          <w:sz w:val="24"/>
          <w:szCs w:val="24"/>
        </w:rPr>
        <w:t>3</w:t>
      </w:r>
      <w:r>
        <w:rPr>
          <w:rFonts w:hint="eastAsia"/>
          <w:sz w:val="24"/>
          <w:szCs w:val="24"/>
        </w:rPr>
        <w:t>、线性扩展</w:t>
      </w:r>
      <w:bookmarkEnd w:id="61"/>
      <w:bookmarkEnd w:id="62"/>
      <w:bookmarkEnd w:id="63"/>
      <w:bookmarkEnd w:id="64"/>
      <w:bookmarkEnd w:id="65"/>
      <w:bookmarkEnd w:id="66"/>
      <w:r>
        <w:rPr>
          <w:rFonts w:hint="eastAsia"/>
          <w:sz w:val="24"/>
          <w:szCs w:val="24"/>
        </w:rPr>
        <w:t>能力</w:t>
      </w:r>
      <w:bookmarkEnd w:id="67"/>
      <w:bookmarkEnd w:id="68"/>
    </w:p>
    <w:p>
      <w:pPr>
        <w:spacing w:line="360" w:lineRule="auto"/>
        <w:rPr>
          <w:sz w:val="24"/>
          <w:szCs w:val="24"/>
        </w:rPr>
      </w:pPr>
      <w:r>
        <w:rPr>
          <w:rFonts w:hint="eastAsia"/>
          <w:sz w:val="24"/>
          <w:szCs w:val="24"/>
        </w:rPr>
        <w:t>所谓线性扩展能力，主要体现在两个方面：一个是集群部署规模可以线性扩展，另一个方面，随集群规模的扩展，其性能要能够线性或近似线性扩展。</w:t>
      </w:r>
    </w:p>
    <w:p>
      <w:pPr>
        <w:spacing w:line="360" w:lineRule="auto"/>
        <w:rPr>
          <w:sz w:val="24"/>
          <w:szCs w:val="24"/>
        </w:rPr>
      </w:pPr>
      <w:r>
        <w:rPr>
          <w:rFonts w:hint="eastAsia"/>
          <w:sz w:val="24"/>
          <w:szCs w:val="24"/>
        </w:rPr>
        <w:t>在规模上，传统存储之所以在扩展能力上受限，一个很重要的原因就是一般其采用集中式控制，并且在控制节点存储大量的元数据信息，从而使控制节点容易成为系统的瓶颈。对于ONEStor系统，如上一章节所述，Client节点通过cluster map，可以直接计算出数据的存储位置，从而对OSD进行直接读写，完全是分布式并行的；而其元数据，也就是cluster map，是轻量级数据，而且其更新的频率相对而言也是较低的。这种架构就在理论上保证了ONEStor具备线性扩展能力。当然，除了集群架构和元数据的设计之外，ONEStor在缓存设计，节点数据迁移方式等方面同样满足线性扩展的要求，具体见后面章节描述。理论上，存储集群的最大节点数量并没有限制；实践中，已经有超过一百个节点的部署应用。</w:t>
      </w:r>
    </w:p>
    <w:p>
      <w:pPr>
        <w:spacing w:line="360" w:lineRule="auto"/>
        <w:rPr>
          <w:sz w:val="24"/>
          <w:szCs w:val="24"/>
        </w:rPr>
      </w:pPr>
      <w:r>
        <w:rPr>
          <w:rFonts w:hint="eastAsia"/>
          <w:sz w:val="24"/>
          <w:szCs w:val="24"/>
        </w:rPr>
        <w:t>在性能上，由“领先的分布式架构”章节可知，Client端的读写数据最终会被CRUSH算法打散，以概率均匀的方式分布到各OSD上，从而集群整体的IO和Throughput能力是各节点能力的总和。换句话说，也就是集群的性能随节点数量的增加而线性增加。</w:t>
      </w:r>
    </w:p>
    <w:p>
      <w:pPr>
        <w:spacing w:line="360" w:lineRule="auto"/>
        <w:rPr>
          <w:sz w:val="24"/>
          <w:szCs w:val="24"/>
        </w:rPr>
      </w:pPr>
      <w:r>
        <w:rPr>
          <w:rFonts w:hint="eastAsia"/>
          <w:sz w:val="24"/>
          <w:szCs w:val="24"/>
        </w:rPr>
        <w:t>在实际部署中，ONEStor存储集群可以支持数百PB级别的存储容量规模，用户可以根据自己的存储情况和业务使用情况不断向集群中添加存储节点进行扩容，扩容过程中不需要中断用户业务。</w:t>
      </w:r>
    </w:p>
    <w:p>
      <w:pPr>
        <w:spacing w:line="360" w:lineRule="auto"/>
        <w:rPr>
          <w:sz w:val="24"/>
          <w:szCs w:val="24"/>
        </w:rPr>
      </w:pPr>
      <w:r>
        <w:rPr>
          <w:sz w:val="24"/>
          <w:szCs w:val="24"/>
        </w:rPr>
        <w:t>4</w:t>
      </w:r>
      <w:r>
        <w:rPr>
          <w:rFonts w:hint="eastAsia"/>
          <w:sz w:val="24"/>
          <w:szCs w:val="24"/>
        </w:rPr>
        <w:t>、高可靠性</w:t>
      </w:r>
    </w:p>
    <w:p>
      <w:pPr>
        <w:spacing w:line="360" w:lineRule="auto"/>
        <w:rPr>
          <w:sz w:val="24"/>
          <w:szCs w:val="24"/>
        </w:rPr>
      </w:pPr>
      <w:r>
        <w:rPr>
          <w:rFonts w:hint="eastAsia"/>
          <w:sz w:val="24"/>
          <w:szCs w:val="24"/>
        </w:rPr>
        <w:t>（1）多副本机制</w:t>
      </w:r>
    </w:p>
    <w:p>
      <w:pPr>
        <w:spacing w:line="360" w:lineRule="auto"/>
        <w:rPr>
          <w:sz w:val="24"/>
          <w:szCs w:val="24"/>
        </w:rPr>
      </w:pPr>
      <w:r>
        <w:rPr>
          <w:rFonts w:hint="eastAsia"/>
          <w:sz w:val="24"/>
          <w:szCs w:val="24"/>
        </w:rPr>
        <w:t>对存储系统来说，可靠性（Reliability）一般指其对存储的数据无差错地保存能力，一般以在一段时间内的不出错的概率来表示，ONEStor在一年的时间内其数据可靠性最高可以达到</w:t>
      </w:r>
      <w:r>
        <w:rPr>
          <w:sz w:val="24"/>
          <w:szCs w:val="24"/>
        </w:rPr>
        <w:t>5</w:t>
      </w:r>
      <w:r>
        <w:rPr>
          <w:rFonts w:hint="eastAsia"/>
          <w:sz w:val="24"/>
          <w:szCs w:val="24"/>
        </w:rPr>
        <w:t>个9，即99.999%。</w:t>
      </w:r>
    </w:p>
    <w:p>
      <w:pPr>
        <w:spacing w:line="360" w:lineRule="auto"/>
        <w:rPr>
          <w:sz w:val="24"/>
          <w:szCs w:val="24"/>
        </w:rPr>
      </w:pPr>
      <w:r>
        <w:rPr>
          <w:rFonts w:hint="eastAsia"/>
          <w:sz w:val="24"/>
          <w:szCs w:val="24"/>
        </w:rPr>
        <w:t>为了对数据存储获得高可靠性，常用的方法就是多副本技术，即把用户的数据在存储体中存放多份，比如典型的3副本。在这种情况下，只有在3份数据全部丢失，用户的数据才会真正丢失。在ONEStor系统中，数据的多副本分布示意图如下图所示。</w:t>
      </w:r>
    </w:p>
    <w:p>
      <w:pPr>
        <w:spacing w:line="360" w:lineRule="auto"/>
        <w:rPr>
          <w:sz w:val="24"/>
          <w:szCs w:val="24"/>
        </w:rPr>
      </w:pPr>
      <w:r>
        <w:rPr>
          <w:sz w:val="24"/>
          <w:szCs w:val="24"/>
        </w:rPr>
        <w:drawing>
          <wp:inline distT="0" distB="0" distL="0" distR="0">
            <wp:extent cx="3715385" cy="3097530"/>
            <wp:effectExtent l="0" t="0" r="0" b="7620"/>
            <wp:docPr id="229" name="图片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图片 229"/>
                    <pic:cNvPicPr>
                      <a:picLocks noChangeAspect="1"/>
                    </pic:cNvPicPr>
                  </pic:nvPicPr>
                  <pic:blipFill>
                    <a:blip r:embed="rId52"/>
                    <a:stretch>
                      <a:fillRect/>
                    </a:stretch>
                  </pic:blipFill>
                  <pic:spPr>
                    <a:xfrm>
                      <a:off x="0" y="0"/>
                      <a:ext cx="3723495" cy="3104127"/>
                    </a:xfrm>
                    <a:prstGeom prst="rect">
                      <a:avLst/>
                    </a:prstGeom>
                  </pic:spPr>
                </pic:pic>
              </a:graphicData>
            </a:graphic>
          </wp:inline>
        </w:drawing>
      </w:r>
    </w:p>
    <w:p>
      <w:pPr>
        <w:spacing w:line="360" w:lineRule="auto"/>
        <w:rPr>
          <w:sz w:val="24"/>
          <w:szCs w:val="24"/>
        </w:rPr>
      </w:pPr>
      <w:r>
        <w:rPr>
          <w:rFonts w:hint="eastAsia"/>
          <w:sz w:val="24"/>
          <w:szCs w:val="24"/>
        </w:rPr>
        <w:t>上图中，一方面，用户数据（为简便计，用数字序号表示）的不同副本放置到多个不同的磁盘，具体放置到哪些磁盘由数据放置算法决定；另一方面，同一个磁盘会承载多个用户的数据。在商业存储系统中，如果某个磁盘发生了损坏，系统为保证副本个数，会将损坏磁盘所包含的用户数据利用其它磁盘的数据副本复制到其它可用磁盘（可能不止一个，不同系统有不同算法）。当然，复制是需要时间的，不同的系统在不同条件下有不同时间，其差异可能从数分钟到数十小时，为后面的讨论方便起见，这个时间我们简记为Tr。</w:t>
      </w:r>
    </w:p>
    <w:p>
      <w:pPr>
        <w:spacing w:line="360" w:lineRule="auto"/>
        <w:rPr>
          <w:sz w:val="24"/>
          <w:szCs w:val="24"/>
        </w:rPr>
      </w:pPr>
      <w:r>
        <w:rPr>
          <w:rFonts w:hint="eastAsia"/>
          <w:sz w:val="24"/>
          <w:szCs w:val="24"/>
        </w:rPr>
        <w:t>对上面的例子来说，存储系统的数据可靠性等同于系统中持有的三个副本数据同时丢失。这里所谓的同时并不是指数据所在的磁盘确切地在相同的时间损坏，而是指在Tr时间段内，三个副本所在的磁盘同时损坏。示意图如下图所示：</w:t>
      </w:r>
    </w:p>
    <w:p>
      <w:pPr>
        <w:spacing w:line="360" w:lineRule="auto"/>
        <w:rPr>
          <w:sz w:val="24"/>
          <w:szCs w:val="24"/>
        </w:rPr>
      </w:pPr>
      <w:r>
        <w:rPr>
          <w:sz w:val="24"/>
          <w:szCs w:val="24"/>
        </w:rPr>
        <w:drawing>
          <wp:inline distT="0" distB="0" distL="0" distR="0">
            <wp:extent cx="5142865" cy="1800225"/>
            <wp:effectExtent l="0" t="0" r="0" b="0"/>
            <wp:docPr id="254" name="图片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图片 254"/>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a:xfrm>
                      <a:off x="0" y="0"/>
                      <a:ext cx="5142395" cy="1799968"/>
                    </a:xfrm>
                    <a:prstGeom prst="rect">
                      <a:avLst/>
                    </a:prstGeom>
                    <a:noFill/>
                  </pic:spPr>
                </pic:pic>
              </a:graphicData>
            </a:graphic>
          </wp:inline>
        </w:drawing>
      </w:r>
    </w:p>
    <w:p>
      <w:pPr>
        <w:spacing w:line="360" w:lineRule="auto"/>
        <w:rPr>
          <w:sz w:val="24"/>
          <w:szCs w:val="24"/>
        </w:rPr>
      </w:pPr>
      <w:r>
        <w:rPr>
          <w:rFonts w:hint="eastAsia"/>
          <w:sz w:val="24"/>
          <w:szCs w:val="24"/>
        </w:rPr>
        <w:t>我们知道，对一般的电子元件来说，其寿命一般符合指数分布。实践表明，磁盘的寿命同样满足此规律。为了提高存储系统的可靠性，一个重要的方法就是想办法减小Tr时间，也就是说，在某个磁盘发生损坏时，要在尽量短的时间内将其上的数据恢复到其它磁盘。</w:t>
      </w:r>
    </w:p>
    <w:p>
      <w:pPr>
        <w:spacing w:line="360" w:lineRule="auto"/>
        <w:rPr>
          <w:sz w:val="24"/>
          <w:szCs w:val="24"/>
        </w:rPr>
      </w:pPr>
      <w:r>
        <w:rPr>
          <w:rFonts w:hint="eastAsia"/>
          <w:sz w:val="24"/>
          <w:szCs w:val="24"/>
        </w:rPr>
        <w:t>由前面的描述我们知道，在ONEStor系统中，对一个确定的object，会映射到一个确定的PG，这个PG又会映射到一组（对3副本来说，就是3个）确定的OSD。上述步骤中的每一个映射都是伪随机的。如果从磁盘的角度观察，我们会看到对于一个确定的OSD，它一般包含若干个PG（一般在100这个数量级，并且每个PG中包含着若干的object），对着其中的每个PG而言，都会存在2个另外的OSD，含有相同的PG。如果我们把具有相同PG的OSD称为“关联”关系的话，那么对于一个特定的OSD，可能系统中会存在几十到上百个OSD与其存在关联关系，当然，这个前提是存储系统中首先要有这么多的OSD。</w:t>
      </w:r>
    </w:p>
    <w:p>
      <w:pPr>
        <w:spacing w:line="360" w:lineRule="auto"/>
        <w:rPr>
          <w:sz w:val="24"/>
          <w:szCs w:val="24"/>
        </w:rPr>
      </w:pPr>
      <w:r>
        <w:rPr>
          <w:rFonts w:hint="eastAsia"/>
          <w:sz w:val="24"/>
          <w:szCs w:val="24"/>
        </w:rPr>
        <w:t>这样，当某个OSD失效时，首先ONEStor会侦测到这个OSD故障，并更新cluster map。此时，失效OSD存在关联关系的每一个OSD会重新计算出一个新OSD来代替这个失效的OSD，并在新的OSD上写入一份新的副本。由CRUSH算法的伪随机性不难想象，不同的关联OSD计算出的新的OSD很可能是不同的。换句话说，当一个OSD损坏时，其上的数据并不是全部简单地拷贝到某一个新的OSD上，而是在系统中由众多的OSD共同承担，每个OSD将其中的一部分数据恢复到新的OSD上。打个通俗的比喻就是“一人有难，八方支援”。在这样的分布式并行数据恢复机制下，会比传统的单一节点恢复节省几十到上百倍的时间，从而在系统的可靠性上得到极大的提升。</w:t>
      </w:r>
    </w:p>
    <w:p>
      <w:pPr>
        <w:spacing w:line="360" w:lineRule="auto"/>
        <w:rPr>
          <w:sz w:val="24"/>
          <w:szCs w:val="24"/>
        </w:rPr>
      </w:pPr>
      <w:r>
        <w:rPr>
          <w:rFonts w:hint="eastAsia"/>
          <w:sz w:val="24"/>
          <w:szCs w:val="24"/>
        </w:rPr>
        <w:t>对于ONEStor系统，理论计算和模拟实验表明，在典型的3副本机制下，在不少于30个磁盘的系统中，数据在一年内的可靠性可以达到11个9的水平。</w:t>
      </w:r>
    </w:p>
    <w:p>
      <w:pPr>
        <w:spacing w:line="360" w:lineRule="auto"/>
        <w:rPr>
          <w:sz w:val="24"/>
          <w:szCs w:val="24"/>
        </w:rPr>
      </w:pPr>
      <w:r>
        <w:rPr>
          <w:rFonts w:hint="eastAsia"/>
          <w:sz w:val="24"/>
          <w:szCs w:val="24"/>
        </w:rPr>
        <w:t>除了数据的可靠性，其Monitor节点也是分布式部署的，同样不存在单点故障问题。这样在ONEStor系统中，不论是数据还是元数据，都不存在单点故障，并达到极高的可靠性。</w:t>
      </w:r>
    </w:p>
    <w:p>
      <w:pPr>
        <w:spacing w:line="360" w:lineRule="auto"/>
        <w:rPr>
          <w:sz w:val="24"/>
          <w:szCs w:val="24"/>
        </w:rPr>
      </w:pPr>
      <w:r>
        <w:rPr>
          <w:rFonts w:hint="eastAsia"/>
          <w:sz w:val="24"/>
          <w:szCs w:val="24"/>
        </w:rPr>
        <w:t>（2）数据一致性</w:t>
      </w:r>
    </w:p>
    <w:p>
      <w:pPr>
        <w:spacing w:line="360" w:lineRule="auto"/>
        <w:rPr>
          <w:sz w:val="24"/>
          <w:szCs w:val="24"/>
        </w:rPr>
      </w:pPr>
      <w:r>
        <w:rPr>
          <w:rFonts w:hint="eastAsia"/>
          <w:sz w:val="24"/>
          <w:szCs w:val="24"/>
        </w:rPr>
        <w:t>所谓一致性，粗略地说， 就是分布式系统通过副本控制协议，使得从系统外部读取系统内部各个副本的数据在一定的约束条件下相同。依据一致性的强弱条件不同，副本一致性可以分成若干级别，如强一致性、单调一致性、会话一致性、最终一致性等。</w:t>
      </w:r>
    </w:p>
    <w:p>
      <w:pPr>
        <w:spacing w:line="360" w:lineRule="auto"/>
        <w:rPr>
          <w:sz w:val="24"/>
          <w:szCs w:val="24"/>
        </w:rPr>
      </w:pPr>
      <w:r>
        <w:rPr>
          <w:rFonts w:hint="eastAsia"/>
          <w:sz w:val="24"/>
          <w:szCs w:val="24"/>
        </w:rPr>
        <w:t>在ONEStor系统中，一方面要保证元数据的一致性；另一方面要保证用户数据的一致性。</w:t>
      </w:r>
    </w:p>
    <w:p>
      <w:pPr>
        <w:spacing w:line="360" w:lineRule="auto"/>
        <w:rPr>
          <w:sz w:val="24"/>
          <w:szCs w:val="24"/>
        </w:rPr>
      </w:pPr>
      <w:r>
        <w:rPr>
          <w:rFonts w:hint="eastAsia"/>
          <w:sz w:val="24"/>
          <w:szCs w:val="24"/>
        </w:rPr>
        <w:t>元数据的一致性，是指多个Monitor之间关于这个集群的cluster map要保持一致性。因为不论client还是OSD，都要依据cluster map来定位和分布数据，故而元数据的一致性是必须的。为了达到此点，ONEStor的Monitor之间采用了Paxos和Lease机制来保证元数据的一致性问题。Paxos和Lease机制，都有公开的文献讨论，在此不再赘述。</w:t>
      </w:r>
    </w:p>
    <w:p>
      <w:pPr>
        <w:spacing w:line="360" w:lineRule="auto"/>
        <w:rPr>
          <w:sz w:val="24"/>
          <w:szCs w:val="24"/>
        </w:rPr>
      </w:pPr>
      <w:r>
        <w:rPr>
          <w:rFonts w:hint="eastAsia"/>
          <w:sz w:val="24"/>
          <w:szCs w:val="24"/>
        </w:rPr>
        <w:t>对于用户数据的一致性，ONEStor系统保证数据的强一致性，所谓强一致性，就是任何用户或节点都可以读到最近一次成功更新的副本数据。强一致性是程度要求最高的一致性。</w:t>
      </w:r>
    </w:p>
    <w:p>
      <w:pPr>
        <w:spacing w:line="360" w:lineRule="auto"/>
        <w:rPr>
          <w:sz w:val="24"/>
          <w:szCs w:val="24"/>
        </w:rPr>
      </w:pPr>
      <w:r>
        <w:rPr>
          <w:rFonts w:hint="eastAsia"/>
          <w:sz w:val="24"/>
          <w:szCs w:val="24"/>
        </w:rPr>
        <w:t>ONEStor系统实现了用户数据的强一致性。</w:t>
      </w:r>
    </w:p>
    <w:p>
      <w:pPr>
        <w:spacing w:line="360" w:lineRule="auto"/>
        <w:rPr>
          <w:sz w:val="24"/>
          <w:szCs w:val="24"/>
        </w:rPr>
      </w:pPr>
      <w:r>
        <w:rPr>
          <w:rFonts w:hint="eastAsia"/>
          <w:sz w:val="24"/>
          <w:szCs w:val="24"/>
        </w:rPr>
        <w:t>其基本原理如下：</w:t>
      </w:r>
    </w:p>
    <w:p>
      <w:pPr>
        <w:spacing w:line="360" w:lineRule="auto"/>
        <w:rPr>
          <w:sz w:val="24"/>
          <w:szCs w:val="24"/>
        </w:rPr>
      </w:pPr>
      <w:r>
        <w:rPr>
          <w:rFonts w:hint="eastAsia"/>
          <w:sz w:val="24"/>
          <w:szCs w:val="24"/>
        </w:rPr>
        <w:t>假定文件以</w:t>
      </w:r>
      <w:r>
        <w:rPr>
          <w:sz w:val="24"/>
          <w:szCs w:val="24"/>
        </w:rPr>
        <w:t>3</w:t>
      </w:r>
      <w:r>
        <w:rPr>
          <w:rFonts w:hint="eastAsia"/>
          <w:sz w:val="24"/>
          <w:szCs w:val="24"/>
        </w:rPr>
        <w:t>副本写入到ONEStor集群中，则寻址过程中每个</w:t>
      </w:r>
      <w:r>
        <w:rPr>
          <w:sz w:val="24"/>
          <w:szCs w:val="24"/>
        </w:rPr>
        <w:t>object</w:t>
      </w:r>
      <w:r>
        <w:rPr>
          <w:rFonts w:hint="eastAsia"/>
          <w:sz w:val="24"/>
          <w:szCs w:val="24"/>
        </w:rPr>
        <w:t>将被映射到</w:t>
      </w:r>
      <w:r>
        <w:rPr>
          <w:sz w:val="24"/>
          <w:szCs w:val="24"/>
        </w:rPr>
        <w:t>3</w:t>
      </w:r>
      <w:r>
        <w:rPr>
          <w:rFonts w:hint="eastAsia"/>
          <w:sz w:val="24"/>
          <w:szCs w:val="24"/>
        </w:rPr>
        <w:t>个不同的</w:t>
      </w:r>
      <w:r>
        <w:rPr>
          <w:sz w:val="24"/>
          <w:szCs w:val="24"/>
        </w:rPr>
        <w:t>OSD</w:t>
      </w:r>
      <w:r>
        <w:rPr>
          <w:rFonts w:hint="eastAsia"/>
          <w:sz w:val="24"/>
          <w:szCs w:val="24"/>
        </w:rPr>
        <w:t>（注意，这</w:t>
      </w:r>
      <w:r>
        <w:rPr>
          <w:sz w:val="24"/>
          <w:szCs w:val="24"/>
        </w:rPr>
        <w:t>3</w:t>
      </w:r>
      <w:r>
        <w:rPr>
          <w:rFonts w:hint="eastAsia"/>
          <w:sz w:val="24"/>
          <w:szCs w:val="24"/>
        </w:rPr>
        <w:t>个</w:t>
      </w:r>
      <w:r>
        <w:rPr>
          <w:sz w:val="24"/>
          <w:szCs w:val="24"/>
        </w:rPr>
        <w:t>OSD</w:t>
      </w:r>
      <w:r>
        <w:rPr>
          <w:rFonts w:hint="eastAsia"/>
          <w:sz w:val="24"/>
          <w:szCs w:val="24"/>
        </w:rPr>
        <w:t>是有顺序的，其顺序由</w:t>
      </w:r>
      <w:r>
        <w:rPr>
          <w:sz w:val="24"/>
          <w:szCs w:val="24"/>
        </w:rPr>
        <w:t>CRUSH</w:t>
      </w:r>
      <w:r>
        <w:rPr>
          <w:rFonts w:hint="eastAsia"/>
          <w:sz w:val="24"/>
          <w:szCs w:val="24"/>
        </w:rPr>
        <w:t>算法决定），这</w:t>
      </w:r>
      <w:r>
        <w:rPr>
          <w:sz w:val="24"/>
          <w:szCs w:val="24"/>
        </w:rPr>
        <w:t>3</w:t>
      </w:r>
      <w:r>
        <w:rPr>
          <w:rFonts w:hint="eastAsia"/>
          <w:sz w:val="24"/>
          <w:szCs w:val="24"/>
        </w:rPr>
        <w:t>个</w:t>
      </w:r>
      <w:r>
        <w:rPr>
          <w:sz w:val="24"/>
          <w:szCs w:val="24"/>
        </w:rPr>
        <w:t>OSD</w:t>
      </w:r>
      <w:r>
        <w:rPr>
          <w:rFonts w:hint="eastAsia"/>
          <w:sz w:val="24"/>
          <w:szCs w:val="24"/>
        </w:rPr>
        <w:t>依次称为</w:t>
      </w:r>
      <w:r>
        <w:rPr>
          <w:sz w:val="24"/>
          <w:szCs w:val="24"/>
        </w:rPr>
        <w:t>Pirmary OSD</w:t>
      </w:r>
      <w:r>
        <w:rPr>
          <w:rFonts w:hint="eastAsia"/>
          <w:sz w:val="24"/>
          <w:szCs w:val="24"/>
        </w:rPr>
        <w:t>，</w:t>
      </w:r>
      <w:r>
        <w:rPr>
          <w:sz w:val="24"/>
          <w:szCs w:val="24"/>
        </w:rPr>
        <w:t>Secondary OSD</w:t>
      </w:r>
      <w:r>
        <w:rPr>
          <w:rFonts w:hint="eastAsia"/>
          <w:sz w:val="24"/>
          <w:szCs w:val="24"/>
        </w:rPr>
        <w:t>，</w:t>
      </w:r>
      <w:r>
        <w:rPr>
          <w:sz w:val="24"/>
          <w:szCs w:val="24"/>
        </w:rPr>
        <w:t>Tertiary OSD</w:t>
      </w:r>
      <w:r>
        <w:rPr>
          <w:rFonts w:hint="eastAsia"/>
          <w:sz w:val="24"/>
          <w:szCs w:val="24"/>
        </w:rPr>
        <w:t>。对于其中的某个</w:t>
      </w:r>
      <w:r>
        <w:rPr>
          <w:sz w:val="24"/>
          <w:szCs w:val="24"/>
        </w:rPr>
        <w:t>object</w:t>
      </w:r>
      <w:r>
        <w:rPr>
          <w:rFonts w:hint="eastAsia"/>
          <w:sz w:val="24"/>
          <w:szCs w:val="24"/>
        </w:rPr>
        <w:t>，其写入流程如下：</w:t>
      </w:r>
    </w:p>
    <w:p>
      <w:pPr>
        <w:spacing w:line="360" w:lineRule="auto"/>
        <w:rPr>
          <w:sz w:val="24"/>
          <w:szCs w:val="24"/>
        </w:rPr>
      </w:pPr>
      <w:r>
        <w:rPr>
          <w:sz w:val="24"/>
          <w:szCs w:val="24"/>
        </w:rPr>
        <w:drawing>
          <wp:inline distT="0" distB="0" distL="0" distR="0">
            <wp:extent cx="3562350" cy="2085975"/>
            <wp:effectExtent l="0" t="0" r="0" b="9525"/>
            <wp:docPr id="8" name="Picture 8"/>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54">
                      <a:extLst>
                        <a:ext uri="{28A0092B-C50C-407E-A947-70E740481C1C}">
                          <a14:useLocalDpi xmlns:a14="http://schemas.microsoft.com/office/drawing/2010/main" val="0"/>
                        </a:ext>
                      </a:extLst>
                    </a:blip>
                    <a:srcRect/>
                    <a:stretch>
                      <a:fillRect/>
                    </a:stretch>
                  </pic:blipFill>
                  <pic:spPr>
                    <a:xfrm>
                      <a:off x="0" y="0"/>
                      <a:ext cx="3562350" cy="2085975"/>
                    </a:xfrm>
                    <a:prstGeom prst="rect">
                      <a:avLst/>
                    </a:prstGeom>
                    <a:noFill/>
                  </pic:spPr>
                </pic:pic>
              </a:graphicData>
            </a:graphic>
          </wp:inline>
        </w:drawing>
      </w:r>
    </w:p>
    <w:p>
      <w:pPr>
        <w:spacing w:line="360" w:lineRule="auto"/>
        <w:rPr>
          <w:sz w:val="24"/>
          <w:szCs w:val="24"/>
        </w:rPr>
      </w:pPr>
      <w:r>
        <w:rPr>
          <w:rFonts w:hint="eastAsia"/>
          <w:sz w:val="24"/>
          <w:szCs w:val="24"/>
        </w:rPr>
        <w:t>在</w:t>
      </w:r>
      <w:r>
        <w:rPr>
          <w:sz w:val="24"/>
          <w:szCs w:val="24"/>
        </w:rPr>
        <w:t>Client</w:t>
      </w:r>
      <w:r>
        <w:rPr>
          <w:rFonts w:hint="eastAsia"/>
          <w:sz w:val="24"/>
          <w:szCs w:val="24"/>
        </w:rPr>
        <w:t>本地计算出三个</w:t>
      </w:r>
      <w:r>
        <w:rPr>
          <w:sz w:val="24"/>
          <w:szCs w:val="24"/>
        </w:rPr>
        <w:t>OSD</w:t>
      </w:r>
      <w:r>
        <w:rPr>
          <w:rFonts w:hint="eastAsia"/>
          <w:sz w:val="24"/>
          <w:szCs w:val="24"/>
        </w:rPr>
        <w:t>后，将直接和</w:t>
      </w:r>
      <w:r>
        <w:rPr>
          <w:sz w:val="24"/>
          <w:szCs w:val="24"/>
        </w:rPr>
        <w:t>Primary OSD</w:t>
      </w:r>
      <w:r>
        <w:rPr>
          <w:rFonts w:hint="eastAsia"/>
          <w:sz w:val="24"/>
          <w:szCs w:val="24"/>
        </w:rPr>
        <w:t>通信，发起写入操作（步骤</w:t>
      </w:r>
      <w:r>
        <w:rPr>
          <w:sz w:val="24"/>
          <w:szCs w:val="24"/>
        </w:rPr>
        <w:t>1</w:t>
      </w:r>
      <w:r>
        <w:rPr>
          <w:rFonts w:hint="eastAsia"/>
          <w:sz w:val="24"/>
          <w:szCs w:val="24"/>
        </w:rPr>
        <w:t>）。</w:t>
      </w:r>
      <w:r>
        <w:rPr>
          <w:sz w:val="24"/>
          <w:szCs w:val="24"/>
        </w:rPr>
        <w:t>Primary OSD</w:t>
      </w:r>
      <w:r>
        <w:rPr>
          <w:rFonts w:hint="eastAsia"/>
          <w:sz w:val="24"/>
          <w:szCs w:val="24"/>
        </w:rPr>
        <w:t>收到请求后，分别向</w:t>
      </w:r>
      <w:r>
        <w:rPr>
          <w:sz w:val="24"/>
          <w:szCs w:val="24"/>
        </w:rPr>
        <w:t>Secondary OSD</w:t>
      </w:r>
      <w:r>
        <w:rPr>
          <w:rFonts w:hint="eastAsia"/>
          <w:sz w:val="24"/>
          <w:szCs w:val="24"/>
        </w:rPr>
        <w:t>和</w:t>
      </w:r>
      <w:r>
        <w:rPr>
          <w:sz w:val="24"/>
          <w:szCs w:val="24"/>
        </w:rPr>
        <w:t>Tertiary OSD</w:t>
      </w:r>
      <w:r>
        <w:rPr>
          <w:rFonts w:hint="eastAsia"/>
          <w:sz w:val="24"/>
          <w:szCs w:val="24"/>
        </w:rPr>
        <w:t>发起写入操作（步骤</w:t>
      </w:r>
      <w:r>
        <w:rPr>
          <w:sz w:val="24"/>
          <w:szCs w:val="24"/>
        </w:rPr>
        <w:t>2</w:t>
      </w:r>
      <w:r>
        <w:rPr>
          <w:rFonts w:hint="eastAsia"/>
          <w:sz w:val="24"/>
          <w:szCs w:val="24"/>
        </w:rPr>
        <w:t>、</w:t>
      </w:r>
      <w:r>
        <w:rPr>
          <w:sz w:val="24"/>
          <w:szCs w:val="24"/>
        </w:rPr>
        <w:t>3</w:t>
      </w:r>
      <w:r>
        <w:rPr>
          <w:rFonts w:hint="eastAsia"/>
          <w:sz w:val="24"/>
          <w:szCs w:val="24"/>
        </w:rPr>
        <w:t>）。当</w:t>
      </w:r>
      <w:r>
        <w:rPr>
          <w:sz w:val="24"/>
          <w:szCs w:val="24"/>
        </w:rPr>
        <w:t>Secondary OSD</w:t>
      </w:r>
      <w:r>
        <w:rPr>
          <w:rFonts w:hint="eastAsia"/>
          <w:sz w:val="24"/>
          <w:szCs w:val="24"/>
        </w:rPr>
        <w:t>和</w:t>
      </w:r>
      <w:r>
        <w:rPr>
          <w:sz w:val="24"/>
          <w:szCs w:val="24"/>
        </w:rPr>
        <w:t>Tertiary OSD</w:t>
      </w:r>
      <w:r>
        <w:rPr>
          <w:rFonts w:hint="eastAsia"/>
          <w:sz w:val="24"/>
          <w:szCs w:val="24"/>
        </w:rPr>
        <w:t>各自完成写入操作后，将分别向</w:t>
      </w:r>
      <w:r>
        <w:rPr>
          <w:sz w:val="24"/>
          <w:szCs w:val="24"/>
        </w:rPr>
        <w:t>Primary OSD</w:t>
      </w:r>
      <w:r>
        <w:rPr>
          <w:rFonts w:hint="eastAsia"/>
          <w:sz w:val="24"/>
          <w:szCs w:val="24"/>
        </w:rPr>
        <w:t>发送确认信息（步骤</w:t>
      </w:r>
      <w:r>
        <w:rPr>
          <w:sz w:val="24"/>
          <w:szCs w:val="24"/>
        </w:rPr>
        <w:t>4</w:t>
      </w:r>
      <w:r>
        <w:rPr>
          <w:rFonts w:hint="eastAsia"/>
          <w:sz w:val="24"/>
          <w:szCs w:val="24"/>
        </w:rPr>
        <w:t>、</w:t>
      </w:r>
      <w:r>
        <w:rPr>
          <w:sz w:val="24"/>
          <w:szCs w:val="24"/>
        </w:rPr>
        <w:t>5</w:t>
      </w:r>
      <w:r>
        <w:rPr>
          <w:rFonts w:hint="eastAsia"/>
          <w:sz w:val="24"/>
          <w:szCs w:val="24"/>
        </w:rPr>
        <w:t>）。当</w:t>
      </w:r>
      <w:r>
        <w:rPr>
          <w:sz w:val="24"/>
          <w:szCs w:val="24"/>
        </w:rPr>
        <w:t>Primary OSD</w:t>
      </w:r>
      <w:r>
        <w:rPr>
          <w:rFonts w:hint="eastAsia"/>
          <w:sz w:val="24"/>
          <w:szCs w:val="24"/>
        </w:rPr>
        <w:t>收到其他两个</w:t>
      </w:r>
      <w:r>
        <w:rPr>
          <w:sz w:val="24"/>
          <w:szCs w:val="24"/>
        </w:rPr>
        <w:t>OSD</w:t>
      </w:r>
      <w:r>
        <w:rPr>
          <w:rFonts w:hint="eastAsia"/>
          <w:sz w:val="24"/>
          <w:szCs w:val="24"/>
        </w:rPr>
        <w:t>的写入确认后，并自己也完成数据写入，则向</w:t>
      </w:r>
      <w:r>
        <w:rPr>
          <w:sz w:val="24"/>
          <w:szCs w:val="24"/>
        </w:rPr>
        <w:t>client</w:t>
      </w:r>
      <w:r>
        <w:rPr>
          <w:rFonts w:hint="eastAsia"/>
          <w:sz w:val="24"/>
          <w:szCs w:val="24"/>
        </w:rPr>
        <w:t>确认</w:t>
      </w:r>
      <w:r>
        <w:rPr>
          <w:sz w:val="24"/>
          <w:szCs w:val="24"/>
        </w:rPr>
        <w:t>object</w:t>
      </w:r>
      <w:r>
        <w:rPr>
          <w:rFonts w:hint="eastAsia"/>
          <w:sz w:val="24"/>
          <w:szCs w:val="24"/>
        </w:rPr>
        <w:t>写入操作完成（步骤</w:t>
      </w:r>
      <w:r>
        <w:rPr>
          <w:sz w:val="24"/>
          <w:szCs w:val="24"/>
        </w:rPr>
        <w:t>6</w:t>
      </w:r>
      <w:r>
        <w:rPr>
          <w:rFonts w:hint="eastAsia"/>
          <w:sz w:val="24"/>
          <w:szCs w:val="24"/>
        </w:rPr>
        <w:t>）。</w:t>
      </w:r>
    </w:p>
    <w:p>
      <w:pPr>
        <w:spacing w:line="360" w:lineRule="auto"/>
        <w:rPr>
          <w:sz w:val="24"/>
          <w:szCs w:val="24"/>
        </w:rPr>
      </w:pPr>
      <w:bookmarkStart w:id="69" w:name="_Toc430262978"/>
      <w:bookmarkStart w:id="70" w:name="_Toc381628629"/>
      <w:bookmarkStart w:id="71" w:name="_Toc369533842"/>
      <w:r>
        <w:rPr>
          <w:sz w:val="24"/>
          <w:szCs w:val="24"/>
        </w:rPr>
        <w:t>5</w:t>
      </w:r>
      <w:r>
        <w:rPr>
          <w:rFonts w:hint="eastAsia"/>
          <w:sz w:val="24"/>
          <w:szCs w:val="24"/>
        </w:rPr>
        <w:t>、良好的性能</w:t>
      </w:r>
      <w:bookmarkEnd w:id="69"/>
      <w:bookmarkEnd w:id="70"/>
      <w:bookmarkEnd w:id="71"/>
    </w:p>
    <w:p>
      <w:pPr>
        <w:spacing w:line="360" w:lineRule="auto"/>
        <w:rPr>
          <w:sz w:val="24"/>
          <w:szCs w:val="24"/>
        </w:rPr>
      </w:pPr>
      <w:r>
        <w:rPr>
          <w:rFonts w:hint="eastAsia"/>
          <w:sz w:val="24"/>
          <w:szCs w:val="24"/>
        </w:rPr>
        <w:t>对用户来说，存储系统的性能体现在两个方面：一个是从Client角度看，Client可以从系统获得的性能；一个是从存储集群的角度看，存储集群的供给能力。</w:t>
      </w:r>
    </w:p>
    <w:p>
      <w:pPr>
        <w:spacing w:line="360" w:lineRule="auto"/>
        <w:rPr>
          <w:sz w:val="24"/>
          <w:szCs w:val="24"/>
        </w:rPr>
      </w:pPr>
      <w:r>
        <w:rPr>
          <w:rFonts w:hint="eastAsia"/>
          <w:sz w:val="24"/>
          <w:szCs w:val="24"/>
        </w:rPr>
        <w:t>首先，从client角度看，比如利用集群的块存储RBD。此时，LUN（也就是RBD块）会根据CRUSH算法伪随机地分散在集群的所有磁盘。这个分布是通过集群自动完成，无需手动配置。由于每个LUN可以使用整个集群的磁盘性能，因此整个集群能够提供更高的性能。在ONEStor集群中，LUN默认划分大小是4M（可配置）object，比如一个1GB大小的LUN，会被划分成256个object，这些object分散在不同的OSD上。这样在读写LUN时，就会充分利用集群的整体性能，提升IOPS和Throughput。</w:t>
      </w:r>
    </w:p>
    <w:p>
      <w:pPr>
        <w:rPr>
          <w:sz w:val="24"/>
          <w:szCs w:val="24"/>
        </w:rPr>
      </w:pPr>
      <w:r>
        <w:rPr>
          <w:sz w:val="24"/>
          <w:szCs w:val="24"/>
        </w:rPr>
        <w:drawing>
          <wp:inline distT="0" distB="0" distL="0" distR="0">
            <wp:extent cx="6120765" cy="3248660"/>
            <wp:effectExtent l="0" t="0" r="0" b="8890"/>
            <wp:docPr id="234" name="图片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图片 234"/>
                    <pic:cNvPicPr>
                      <a:picLocks noChangeAspect="1"/>
                    </pic:cNvPicPr>
                  </pic:nvPicPr>
                  <pic:blipFill>
                    <a:blip r:embed="rId55"/>
                    <a:stretch>
                      <a:fillRect/>
                    </a:stretch>
                  </pic:blipFill>
                  <pic:spPr>
                    <a:xfrm>
                      <a:off x="0" y="0"/>
                      <a:ext cx="6120765" cy="3248660"/>
                    </a:xfrm>
                    <a:prstGeom prst="rect">
                      <a:avLst/>
                    </a:prstGeom>
                  </pic:spPr>
                </pic:pic>
              </a:graphicData>
            </a:graphic>
          </wp:inline>
        </w:drawing>
      </w:r>
    </w:p>
    <w:p>
      <w:pPr>
        <w:spacing w:line="360" w:lineRule="auto"/>
        <w:rPr>
          <w:sz w:val="24"/>
          <w:szCs w:val="24"/>
        </w:rPr>
      </w:pPr>
      <w:r>
        <w:rPr>
          <w:rFonts w:hint="eastAsia"/>
          <w:sz w:val="24"/>
          <w:szCs w:val="24"/>
        </w:rPr>
        <w:t>存储集群的性能取决于两方面：一方面是单节点的能力，另一方面是系统的扩展能力。如前所述，ONEStor系统的性能可以随节点的规模而线性扩展，所以对第二点来说，已经达到了最大化。对于单节点的能力，ONEStor在系统设计和硬件配置方便实现了足够的灵活性，从而可以表现出良好的性能。</w:t>
      </w:r>
    </w:p>
    <w:p>
      <w:pPr>
        <w:spacing w:line="360" w:lineRule="auto"/>
        <w:rPr>
          <w:sz w:val="24"/>
          <w:szCs w:val="24"/>
        </w:rPr>
      </w:pPr>
      <w:r>
        <w:rPr>
          <w:rFonts w:hint="eastAsia"/>
          <w:sz w:val="24"/>
          <w:szCs w:val="24"/>
        </w:rPr>
        <w:t>对传统的HDD来说，受寻道能力的限制，单盘的随机读写能力一般不超过200IOPS。SSD的出现，使得在IOPS上的能力相比于HDD有了大幅的提升，一般可以提升2个数量级以上，从在在当前对IOPS有较高需求的应用（如数据库、VDI等）中得到了广泛使用。另一方面，当前SSD在容量、价格、使用寿命等方面和HDD相比还有一定的差距，所以针对不同的场景和需求，一个良好的存储系统应该可以进行灵活的配置。具体来说：</w:t>
      </w:r>
    </w:p>
    <w:p>
      <w:pPr>
        <w:pStyle w:val="129"/>
        <w:widowControl w:val="0"/>
        <w:numPr>
          <w:ilvl w:val="0"/>
          <w:numId w:val="29"/>
        </w:numPr>
        <w:spacing w:before="160" w:after="120" w:line="360" w:lineRule="auto"/>
        <w:ind w:firstLineChars="0"/>
        <w:jc w:val="left"/>
        <w:rPr>
          <w:sz w:val="24"/>
          <w:szCs w:val="24"/>
        </w:rPr>
      </w:pPr>
      <w:r>
        <w:rPr>
          <w:rFonts w:hint="eastAsia"/>
          <w:sz w:val="24"/>
          <w:szCs w:val="24"/>
        </w:rPr>
        <w:t>ONEStor系统支持的硬盘类型包括：全HDD、SSD+HDD混合组网、全SSD。</w:t>
      </w:r>
    </w:p>
    <w:p>
      <w:pPr>
        <w:pStyle w:val="129"/>
        <w:widowControl w:val="0"/>
        <w:numPr>
          <w:ilvl w:val="0"/>
          <w:numId w:val="29"/>
        </w:numPr>
        <w:spacing w:before="160" w:after="120" w:line="360" w:lineRule="auto"/>
        <w:ind w:firstLineChars="0"/>
        <w:jc w:val="left"/>
        <w:rPr>
          <w:sz w:val="24"/>
          <w:szCs w:val="24"/>
        </w:rPr>
      </w:pPr>
      <w:r>
        <w:rPr>
          <w:rFonts w:hint="eastAsia"/>
          <w:sz w:val="24"/>
          <w:szCs w:val="24"/>
        </w:rPr>
        <w:t>在SSD+HDD混合组网模式下，ONEStor系统既可以将SSD作为Cache使用，也可以将SSD和HDD放到不同的pool，做分层存储使用。</w:t>
      </w:r>
    </w:p>
    <w:p>
      <w:pPr>
        <w:pStyle w:val="129"/>
        <w:widowControl w:val="0"/>
        <w:numPr>
          <w:ilvl w:val="0"/>
          <w:numId w:val="29"/>
        </w:numPr>
        <w:spacing w:before="160" w:after="120" w:line="360" w:lineRule="auto"/>
        <w:ind w:firstLineChars="0"/>
        <w:jc w:val="left"/>
        <w:rPr>
          <w:sz w:val="24"/>
          <w:szCs w:val="24"/>
        </w:rPr>
      </w:pPr>
      <w:r>
        <w:rPr>
          <w:rFonts w:hint="eastAsia"/>
          <w:sz w:val="24"/>
          <w:szCs w:val="24"/>
        </w:rPr>
        <w:t>在混合模式下，既可以发挥SSD 的IOPS和Throughput的优势，又可以发挥HDD的容量和价格优势，是目前广泛采用的存储架构。</w:t>
      </w:r>
    </w:p>
    <w:p>
      <w:pPr>
        <w:spacing w:line="360" w:lineRule="auto"/>
        <w:rPr>
          <w:sz w:val="24"/>
          <w:szCs w:val="24"/>
        </w:rPr>
      </w:pPr>
      <w:bookmarkStart w:id="72" w:name="_Toc430262979"/>
      <w:r>
        <w:rPr>
          <w:sz w:val="24"/>
          <w:szCs w:val="24"/>
        </w:rPr>
        <w:t>6</w:t>
      </w:r>
      <w:r>
        <w:rPr>
          <w:rFonts w:hint="eastAsia"/>
          <w:sz w:val="24"/>
          <w:szCs w:val="24"/>
        </w:rPr>
        <w:t>、统一的存储业务</w:t>
      </w:r>
      <w:bookmarkEnd w:id="72"/>
    </w:p>
    <w:p>
      <w:pPr>
        <w:spacing w:line="360" w:lineRule="auto"/>
        <w:rPr>
          <w:sz w:val="24"/>
          <w:szCs w:val="24"/>
        </w:rPr>
      </w:pPr>
      <w:r>
        <w:rPr>
          <w:rFonts w:hint="eastAsia"/>
          <w:sz w:val="24"/>
          <w:szCs w:val="24"/>
        </w:rPr>
        <w:t>从存储系统的业务供给能力角度看，不同的存储系统可以提供所谓的块存储（FC SAN/IP SAN）、文件存储(NAS)、对象存储等不同类型。假如用户有多重应用，就需要购买不同的存储系统。ONEStor基于Ceph开发，因为Ceph本身提供了块、对象、文件等多种不同的接口，故而ONEStor也可以对用户提供不同的存储接口。其基本架构图如下：</w:t>
      </w:r>
    </w:p>
    <w:p>
      <w:pPr>
        <w:rPr>
          <w:sz w:val="24"/>
          <w:szCs w:val="24"/>
        </w:rPr>
      </w:pPr>
      <w:r>
        <w:rPr>
          <w:sz w:val="24"/>
          <w:szCs w:val="24"/>
        </w:rPr>
        <w:drawing>
          <wp:inline distT="0" distB="0" distL="0" distR="0">
            <wp:extent cx="5756910" cy="3953510"/>
            <wp:effectExtent l="0" t="0" r="0" b="8890"/>
            <wp:docPr id="235" name="图片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图片 235"/>
                    <pic:cNvPicPr>
                      <a:picLocks noChangeAspect="1"/>
                    </pic:cNvPicPr>
                  </pic:nvPicPr>
                  <pic:blipFill>
                    <a:blip r:embed="rId56"/>
                    <a:stretch>
                      <a:fillRect/>
                    </a:stretch>
                  </pic:blipFill>
                  <pic:spPr>
                    <a:xfrm>
                      <a:off x="0" y="0"/>
                      <a:ext cx="5758273" cy="3954743"/>
                    </a:xfrm>
                    <a:prstGeom prst="rect">
                      <a:avLst/>
                    </a:prstGeom>
                  </pic:spPr>
                </pic:pic>
              </a:graphicData>
            </a:graphic>
          </wp:inline>
        </w:drawing>
      </w:r>
    </w:p>
    <w:p>
      <w:pPr>
        <w:rPr>
          <w:sz w:val="24"/>
          <w:szCs w:val="24"/>
        </w:rPr>
      </w:pPr>
      <w:r>
        <w:rPr>
          <w:rFonts w:hint="eastAsia"/>
          <w:sz w:val="24"/>
          <w:szCs w:val="24"/>
        </w:rPr>
        <w:t xml:space="preserve">如上图所示，ONEStor系统的软件逻辑分层： </w:t>
      </w:r>
    </w:p>
    <w:p>
      <w:pPr>
        <w:pStyle w:val="129"/>
        <w:widowControl w:val="0"/>
        <w:numPr>
          <w:ilvl w:val="0"/>
          <w:numId w:val="30"/>
        </w:numPr>
        <w:spacing w:before="160" w:after="120" w:line="360" w:lineRule="auto"/>
        <w:ind w:firstLineChars="0"/>
        <w:jc w:val="left"/>
        <w:rPr>
          <w:sz w:val="24"/>
          <w:szCs w:val="24"/>
        </w:rPr>
      </w:pPr>
      <w:r>
        <w:rPr>
          <w:rFonts w:hint="eastAsia"/>
          <w:sz w:val="24"/>
          <w:szCs w:val="24"/>
        </w:rPr>
        <w:t>底层存储服务集群，这一层是一个对象存储系统，RADOS采用C++开发。</w:t>
      </w:r>
    </w:p>
    <w:p>
      <w:pPr>
        <w:pStyle w:val="129"/>
        <w:widowControl w:val="0"/>
        <w:numPr>
          <w:ilvl w:val="0"/>
          <w:numId w:val="30"/>
        </w:numPr>
        <w:spacing w:before="160" w:after="120" w:line="360" w:lineRule="auto"/>
        <w:ind w:firstLineChars="0"/>
        <w:jc w:val="left"/>
        <w:rPr>
          <w:sz w:val="24"/>
          <w:szCs w:val="24"/>
        </w:rPr>
      </w:pPr>
      <w:r>
        <w:rPr>
          <w:rFonts w:hint="eastAsia"/>
          <w:sz w:val="24"/>
          <w:szCs w:val="24"/>
        </w:rPr>
        <w:t>库函数接口 ：这一层的功能是对底层存储服务进行抽象和封装，并向上层提供API（包括C和C++、Java、Python、Ruby和PHP的支持。</w:t>
      </w:r>
    </w:p>
    <w:p>
      <w:pPr>
        <w:pStyle w:val="129"/>
        <w:widowControl w:val="0"/>
        <w:numPr>
          <w:ilvl w:val="0"/>
          <w:numId w:val="30"/>
        </w:numPr>
        <w:spacing w:before="160" w:after="120" w:line="360" w:lineRule="auto"/>
        <w:ind w:firstLineChars="0"/>
        <w:jc w:val="left"/>
        <w:rPr>
          <w:sz w:val="24"/>
          <w:szCs w:val="24"/>
        </w:rPr>
      </w:pPr>
      <w:r>
        <w:rPr>
          <w:rFonts w:hint="eastAsia"/>
          <w:sz w:val="24"/>
          <w:szCs w:val="24"/>
        </w:rPr>
        <w:t>高层应用接口 ：这一层包括了三个部分：对象服务、块设备服务、文件服务等三部分</w:t>
      </w:r>
    </w:p>
    <w:p>
      <w:pPr>
        <w:pStyle w:val="129"/>
        <w:widowControl w:val="0"/>
        <w:numPr>
          <w:ilvl w:val="0"/>
          <w:numId w:val="30"/>
        </w:numPr>
        <w:spacing w:before="160" w:after="120" w:line="360" w:lineRule="auto"/>
        <w:ind w:firstLineChars="0"/>
        <w:jc w:val="left"/>
        <w:rPr>
          <w:sz w:val="24"/>
          <w:szCs w:val="24"/>
        </w:rPr>
      </w:pPr>
      <w:r>
        <w:rPr>
          <w:rFonts w:hint="eastAsia"/>
          <w:sz w:val="24"/>
          <w:szCs w:val="24"/>
        </w:rPr>
        <w:t>应用层 ：这一层就是不同场景下对于ONEStor各个应用接口的各种应用方式。</w:t>
      </w:r>
    </w:p>
    <w:p>
      <w:pPr>
        <w:rPr>
          <w:sz w:val="24"/>
          <w:szCs w:val="24"/>
        </w:rPr>
      </w:pPr>
      <w:r>
        <w:rPr>
          <w:rFonts w:hint="eastAsia"/>
          <w:sz w:val="24"/>
          <w:szCs w:val="24"/>
        </w:rPr>
        <w:t>从用户的角度，一个存储集群就可以满足用户不同的存储应用。</w:t>
      </w:r>
      <w:bookmarkEnd w:id="60"/>
    </w:p>
    <w:p>
      <w:pPr>
        <w:pStyle w:val="5"/>
        <w:rPr>
          <w:sz w:val="24"/>
          <w:szCs w:val="24"/>
        </w:rPr>
      </w:pPr>
      <w:bookmarkStart w:id="73" w:name="_Toc31704612"/>
      <w:r>
        <w:rPr>
          <w:rFonts w:hint="eastAsia"/>
          <w:sz w:val="24"/>
          <w:szCs w:val="24"/>
        </w:rPr>
        <w:t>网络</w:t>
      </w:r>
      <w:r>
        <w:rPr>
          <w:sz w:val="24"/>
          <w:szCs w:val="24"/>
        </w:rPr>
        <w:t>虚拟化</w:t>
      </w:r>
      <w:bookmarkEnd w:id="73"/>
    </w:p>
    <w:p>
      <w:pPr>
        <w:pStyle w:val="7"/>
        <w:spacing w:line="360" w:lineRule="auto"/>
        <w:rPr>
          <w:sz w:val="24"/>
          <w:szCs w:val="24"/>
        </w:rPr>
      </w:pPr>
      <w:r>
        <w:rPr>
          <w:rFonts w:hint="eastAsia"/>
          <w:sz w:val="24"/>
          <w:szCs w:val="24"/>
        </w:rPr>
        <w:t>概述</w:t>
      </w:r>
    </w:p>
    <w:p>
      <w:pPr>
        <w:spacing w:line="360" w:lineRule="auto"/>
        <w:rPr>
          <w:sz w:val="24"/>
          <w:szCs w:val="24"/>
        </w:rPr>
      </w:pPr>
      <w:r>
        <w:rPr>
          <w:rFonts w:hint="eastAsia"/>
          <w:sz w:val="24"/>
          <w:szCs w:val="24"/>
        </w:rPr>
        <w:t>网络虚拟化，通过提供全新的网络运营方式，解决了传统硬件网络的众多管理和运维难题，并且帮助数据中心操作员将敏捷性和经济性提高若干数量级。</w:t>
      </w:r>
    </w:p>
    <w:p>
      <w:pPr>
        <w:spacing w:line="360" w:lineRule="auto"/>
        <w:rPr>
          <w:sz w:val="24"/>
          <w:szCs w:val="24"/>
        </w:rPr>
      </w:pPr>
      <w:r>
        <w:rPr>
          <w:sz w:val="24"/>
          <w:szCs w:val="24"/>
        </w:rPr>
        <w:t>UIS</w:t>
      </w:r>
      <w:r>
        <w:rPr>
          <w:rFonts w:hint="eastAsia"/>
          <w:sz w:val="24"/>
          <w:szCs w:val="24"/>
        </w:rPr>
        <w:t>网络虚拟化，在虚拟机和物理网络之间，提供了一整套完整的逻辑网络设备、连接和服务，同时可集成NVF网络</w:t>
      </w:r>
      <w:r>
        <w:rPr>
          <w:sz w:val="24"/>
          <w:szCs w:val="24"/>
        </w:rPr>
        <w:t>虚拟设备，在</w:t>
      </w:r>
      <w:r>
        <w:rPr>
          <w:rFonts w:hint="eastAsia"/>
          <w:sz w:val="24"/>
          <w:szCs w:val="24"/>
        </w:rPr>
        <w:t>X86服务器</w:t>
      </w:r>
      <w:r>
        <w:rPr>
          <w:sz w:val="24"/>
          <w:szCs w:val="24"/>
        </w:rPr>
        <w:t>内部署</w:t>
      </w:r>
      <w:r>
        <w:rPr>
          <w:rFonts w:hint="eastAsia"/>
          <w:sz w:val="24"/>
          <w:szCs w:val="24"/>
        </w:rPr>
        <w:t>v</w:t>
      </w:r>
      <w:r>
        <w:rPr>
          <w:sz w:val="24"/>
          <w:szCs w:val="24"/>
        </w:rPr>
        <w:t>FW</w:t>
      </w:r>
      <w:r>
        <w:rPr>
          <w:rFonts w:hint="eastAsia"/>
          <w:sz w:val="24"/>
          <w:szCs w:val="24"/>
        </w:rPr>
        <w:t>、</w:t>
      </w:r>
      <w:r>
        <w:rPr>
          <w:sz w:val="24"/>
          <w:szCs w:val="24"/>
        </w:rPr>
        <w:t>vLB</w:t>
      </w:r>
      <w:r>
        <w:rPr>
          <w:rFonts w:hint="eastAsia"/>
          <w:sz w:val="24"/>
          <w:szCs w:val="24"/>
        </w:rPr>
        <w:t>、</w:t>
      </w:r>
      <w:r>
        <w:rPr>
          <w:sz w:val="24"/>
          <w:szCs w:val="24"/>
        </w:rPr>
        <w:t>vSR，</w:t>
      </w:r>
      <w:r>
        <w:rPr>
          <w:rFonts w:hint="eastAsia"/>
          <w:sz w:val="24"/>
          <w:szCs w:val="24"/>
        </w:rPr>
        <w:t>实现虚拟机流量互访安全防护，面向业务安全资源池按需部署。软件定义网络功能不仅是复杂的大型集群所需的，也是安全隔离不同的租户和应用所需，华三SDN解决方案</w:t>
      </w:r>
      <w:r>
        <w:rPr>
          <w:sz w:val="24"/>
          <w:szCs w:val="24"/>
        </w:rPr>
        <w:t>可</w:t>
      </w:r>
      <w:r>
        <w:rPr>
          <w:rFonts w:hint="eastAsia"/>
          <w:sz w:val="24"/>
          <w:szCs w:val="24"/>
        </w:rPr>
        <w:t>实现</w:t>
      </w:r>
      <w:r>
        <w:rPr>
          <w:sz w:val="24"/>
          <w:szCs w:val="24"/>
        </w:rPr>
        <w:t>面向租户的服务链定义，</w:t>
      </w:r>
      <w:r>
        <w:rPr>
          <w:rFonts w:hint="eastAsia"/>
          <w:sz w:val="24"/>
          <w:szCs w:val="24"/>
        </w:rPr>
        <w:t>安全隔离不同的应用实例和租户，使UIS具备</w:t>
      </w:r>
      <w:r>
        <w:rPr>
          <w:sz w:val="24"/>
          <w:szCs w:val="24"/>
        </w:rPr>
        <w:t>网络</w:t>
      </w:r>
      <w:r>
        <w:rPr>
          <w:rFonts w:hint="eastAsia"/>
          <w:sz w:val="24"/>
          <w:szCs w:val="24"/>
        </w:rPr>
        <w:t>环境的自动化、基于策略的安全性。物理网络和虚拟网络应能够轻松互连，没有对物理服务器、虚拟机和物理设备连接的限制。</w:t>
      </w:r>
    </w:p>
    <w:p>
      <w:pPr>
        <w:rPr>
          <w:sz w:val="24"/>
          <w:szCs w:val="24"/>
        </w:rPr>
      </w:pPr>
      <w:r>
        <w:rPr>
          <w:sz w:val="24"/>
          <w:szCs w:val="24"/>
        </w:rPr>
        <w:drawing>
          <wp:inline distT="0" distB="0" distL="0" distR="0">
            <wp:extent cx="5781040" cy="2989580"/>
            <wp:effectExtent l="0" t="0" r="0" b="127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57"/>
                    <a:stretch>
                      <a:fillRect/>
                    </a:stretch>
                  </pic:blipFill>
                  <pic:spPr>
                    <a:xfrm>
                      <a:off x="0" y="0"/>
                      <a:ext cx="5795598" cy="2997189"/>
                    </a:xfrm>
                    <a:prstGeom prst="rect">
                      <a:avLst/>
                    </a:prstGeom>
                  </pic:spPr>
                </pic:pic>
              </a:graphicData>
            </a:graphic>
          </wp:inline>
        </w:drawing>
      </w:r>
    </w:p>
    <w:p>
      <w:pPr>
        <w:spacing w:line="360" w:lineRule="auto"/>
        <w:rPr>
          <w:sz w:val="24"/>
          <w:szCs w:val="24"/>
        </w:rPr>
      </w:pPr>
      <w:r>
        <w:rPr>
          <w:rFonts w:hint="eastAsia"/>
          <w:sz w:val="24"/>
          <w:szCs w:val="24"/>
        </w:rPr>
        <w:t>为了解决在虚拟化环境下的性能问题，华三自研的</w:t>
      </w:r>
      <w:r>
        <w:rPr>
          <w:sz w:val="24"/>
          <w:szCs w:val="24"/>
        </w:rPr>
        <w:t>U-NIC</w:t>
      </w:r>
      <w:r>
        <w:rPr>
          <w:rFonts w:hint="eastAsia"/>
          <w:sz w:val="24"/>
          <w:szCs w:val="24"/>
        </w:rPr>
        <w:t>网卡可通过高带宽、超低延迟的以太网络，实现集群网络、</w:t>
      </w:r>
      <w:r>
        <w:rPr>
          <w:sz w:val="24"/>
          <w:szCs w:val="24"/>
        </w:rPr>
        <w:t>LAN</w:t>
      </w:r>
      <w:r>
        <w:rPr>
          <w:rFonts w:hint="eastAsia"/>
          <w:sz w:val="24"/>
          <w:szCs w:val="24"/>
        </w:rPr>
        <w:t>网络以及</w:t>
      </w:r>
      <w:r>
        <w:rPr>
          <w:sz w:val="24"/>
          <w:szCs w:val="24"/>
        </w:rPr>
        <w:t>SAN</w:t>
      </w:r>
      <w:r>
        <w:rPr>
          <w:rFonts w:hint="eastAsia"/>
          <w:sz w:val="24"/>
          <w:szCs w:val="24"/>
        </w:rPr>
        <w:t>网络的高速传输。</w:t>
      </w:r>
      <w:r>
        <w:rPr>
          <w:sz w:val="24"/>
          <w:szCs w:val="24"/>
        </w:rPr>
        <w:t>U-NIC</w:t>
      </w:r>
      <w:r>
        <w:rPr>
          <w:rFonts w:hint="eastAsia"/>
          <w:sz w:val="24"/>
          <w:szCs w:val="24"/>
        </w:rPr>
        <w:t>网卡支持TOE卸载，</w:t>
      </w:r>
      <w:r>
        <w:rPr>
          <w:sz w:val="24"/>
          <w:szCs w:val="24"/>
        </w:rPr>
        <w:t>ISCSI</w:t>
      </w:r>
      <w:r>
        <w:rPr>
          <w:rFonts w:hint="eastAsia"/>
          <w:sz w:val="24"/>
          <w:szCs w:val="24"/>
        </w:rPr>
        <w:t>随机读写性能提高到</w:t>
      </w:r>
      <w:r>
        <w:rPr>
          <w:sz w:val="24"/>
          <w:szCs w:val="24"/>
        </w:rPr>
        <w:t>26</w:t>
      </w:r>
      <w:r>
        <w:rPr>
          <w:rFonts w:hint="eastAsia"/>
          <w:sz w:val="24"/>
          <w:szCs w:val="24"/>
        </w:rPr>
        <w:t>万</w:t>
      </w:r>
      <w:r>
        <w:rPr>
          <w:sz w:val="24"/>
          <w:szCs w:val="24"/>
        </w:rPr>
        <w:t>IOPS</w:t>
      </w:r>
      <w:r>
        <w:rPr>
          <w:rFonts w:hint="eastAsia"/>
          <w:sz w:val="24"/>
          <w:szCs w:val="24"/>
        </w:rPr>
        <w:t>，时延小于</w:t>
      </w:r>
      <w:r>
        <w:rPr>
          <w:sz w:val="24"/>
          <w:szCs w:val="24"/>
        </w:rPr>
        <w:t>40um</w:t>
      </w:r>
      <w:r>
        <w:rPr>
          <w:rFonts w:hint="eastAsia"/>
          <w:sz w:val="24"/>
          <w:szCs w:val="24"/>
        </w:rPr>
        <w:t>，达到高性能计算的要求。同时网络分区帮助客户在一个端口实现多种服务需求，网络通道虚拟化为每一个虚拟机分配独立的网络服务，互不干扰，提供虚拟机之间的交换功能。</w:t>
      </w:r>
    </w:p>
    <w:p>
      <w:pPr>
        <w:rPr>
          <w:sz w:val="24"/>
          <w:szCs w:val="24"/>
        </w:rPr>
      </w:pPr>
      <w:r>
        <w:rPr>
          <w:sz w:val="24"/>
          <w:szCs w:val="24"/>
        </w:rPr>
        <w:drawing>
          <wp:inline distT="0" distB="0" distL="0" distR="0">
            <wp:extent cx="5654675" cy="2818765"/>
            <wp:effectExtent l="0" t="0" r="3175" b="63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58"/>
                    <a:stretch>
                      <a:fillRect/>
                    </a:stretch>
                  </pic:blipFill>
                  <pic:spPr>
                    <a:xfrm>
                      <a:off x="0" y="0"/>
                      <a:ext cx="5662041" cy="2822636"/>
                    </a:xfrm>
                    <a:prstGeom prst="rect">
                      <a:avLst/>
                    </a:prstGeom>
                  </pic:spPr>
                </pic:pic>
              </a:graphicData>
            </a:graphic>
          </wp:inline>
        </w:drawing>
      </w:r>
    </w:p>
    <w:p>
      <w:pPr>
        <w:rPr>
          <w:sz w:val="24"/>
          <w:szCs w:val="24"/>
        </w:rPr>
      </w:pPr>
      <w:r>
        <w:rPr>
          <w:rFonts w:hint="eastAsia"/>
          <w:sz w:val="24"/>
          <w:szCs w:val="24"/>
        </w:rPr>
        <w:t>另外</w:t>
      </w:r>
      <w:r>
        <w:rPr>
          <w:sz w:val="24"/>
          <w:szCs w:val="24"/>
        </w:rPr>
        <w:t>，</w:t>
      </w:r>
      <w:r>
        <w:rPr>
          <w:rFonts w:hint="eastAsia"/>
          <w:sz w:val="24"/>
          <w:szCs w:val="24"/>
        </w:rPr>
        <w:t>UIS提供</w:t>
      </w:r>
      <w:r>
        <w:rPr>
          <w:sz w:val="24"/>
          <w:szCs w:val="24"/>
        </w:rPr>
        <w:t>所画即所得的</w:t>
      </w:r>
      <w:r>
        <w:rPr>
          <w:rFonts w:hint="eastAsia"/>
          <w:sz w:val="24"/>
          <w:szCs w:val="24"/>
        </w:rPr>
        <w:t>业务部署</w:t>
      </w:r>
      <w:r>
        <w:rPr>
          <w:sz w:val="24"/>
          <w:szCs w:val="24"/>
        </w:rPr>
        <w:t>模式</w:t>
      </w:r>
      <w:r>
        <w:rPr>
          <w:rFonts w:hint="eastAsia"/>
          <w:sz w:val="24"/>
          <w:szCs w:val="24"/>
        </w:rPr>
        <w:t>：</w:t>
      </w:r>
    </w:p>
    <w:p>
      <w:pPr>
        <w:rPr>
          <w:sz w:val="24"/>
          <w:szCs w:val="24"/>
        </w:rPr>
      </w:pPr>
      <w:r>
        <w:rPr>
          <w:sz w:val="24"/>
          <w:szCs w:val="24"/>
        </w:rPr>
        <w:drawing>
          <wp:inline distT="0" distB="0" distL="0" distR="0">
            <wp:extent cx="5760085" cy="3202305"/>
            <wp:effectExtent l="0" t="0" r="0" b="0"/>
            <wp:docPr id="241" name="图片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图片 241"/>
                    <pic:cNvPicPr>
                      <a:picLocks noChangeAspect="1"/>
                    </pic:cNvPicPr>
                  </pic:nvPicPr>
                  <pic:blipFill>
                    <a:blip r:embed="rId59"/>
                    <a:stretch>
                      <a:fillRect/>
                    </a:stretch>
                  </pic:blipFill>
                  <pic:spPr>
                    <a:xfrm>
                      <a:off x="0" y="0"/>
                      <a:ext cx="5764176" cy="3204522"/>
                    </a:xfrm>
                    <a:prstGeom prst="rect">
                      <a:avLst/>
                    </a:prstGeom>
                  </pic:spPr>
                </pic:pic>
              </a:graphicData>
            </a:graphic>
          </wp:inline>
        </w:drawing>
      </w:r>
    </w:p>
    <w:p>
      <w:pPr>
        <w:pStyle w:val="5"/>
        <w:spacing w:line="360" w:lineRule="auto"/>
        <w:rPr>
          <w:sz w:val="24"/>
          <w:szCs w:val="24"/>
        </w:rPr>
      </w:pPr>
      <w:bookmarkStart w:id="74" w:name="_Toc31704613"/>
      <w:r>
        <w:rPr>
          <w:rFonts w:hint="eastAsia"/>
          <w:sz w:val="24"/>
          <w:szCs w:val="24"/>
        </w:rPr>
        <w:t>安全</w:t>
      </w:r>
      <w:bookmarkEnd w:id="74"/>
    </w:p>
    <w:p>
      <w:pPr>
        <w:pStyle w:val="6"/>
        <w:spacing w:line="360" w:lineRule="auto"/>
        <w:rPr>
          <w:szCs w:val="24"/>
        </w:rPr>
      </w:pPr>
      <w:r>
        <w:rPr>
          <w:rFonts w:hint="eastAsia"/>
          <w:szCs w:val="24"/>
        </w:rPr>
        <w:t>概述</w:t>
      </w:r>
    </w:p>
    <w:p>
      <w:pPr>
        <w:spacing w:line="360" w:lineRule="auto"/>
        <w:rPr>
          <w:sz w:val="24"/>
          <w:szCs w:val="24"/>
        </w:rPr>
      </w:pPr>
      <w:r>
        <w:rPr>
          <w:rFonts w:hint="eastAsia"/>
          <w:sz w:val="24"/>
          <w:szCs w:val="24"/>
        </w:rPr>
        <w:t xml:space="preserve">H3C </w:t>
      </w:r>
      <w:r>
        <w:rPr>
          <w:sz w:val="24"/>
          <w:szCs w:val="24"/>
        </w:rPr>
        <w:t xml:space="preserve">UIS </w:t>
      </w:r>
      <w:r>
        <w:rPr>
          <w:rFonts w:hint="eastAsia"/>
          <w:sz w:val="24"/>
          <w:szCs w:val="24"/>
        </w:rPr>
        <w:t>超融合产品</w:t>
      </w:r>
      <w:r>
        <w:rPr>
          <w:sz w:val="24"/>
          <w:szCs w:val="24"/>
        </w:rPr>
        <w:t>的</w:t>
      </w:r>
      <w:r>
        <w:rPr>
          <w:rFonts w:hint="eastAsia"/>
          <w:sz w:val="24"/>
          <w:szCs w:val="24"/>
        </w:rPr>
        <w:t>安全防护体系架构从数据安全、管理安全、安全监控和安全审计四个大的方面进行设计与研发。</w:t>
      </w:r>
    </w:p>
    <w:p>
      <w:pPr>
        <w:rPr>
          <w:sz w:val="24"/>
          <w:szCs w:val="24"/>
        </w:rPr>
      </w:pPr>
      <w:r>
        <w:rPr>
          <w:sz w:val="24"/>
          <w:szCs w:val="24"/>
        </w:rPr>
        <w:object>
          <v:shape id="_x0000_i1035" o:spt="75" type="#_x0000_t75" style="height:267pt;width:459.5pt;" o:ole="t" filled="f" o:preferrelative="t" stroked="f" coordsize="21600,21600">
            <v:path/>
            <v:fill on="f" focussize="0,0"/>
            <v:stroke on="f" joinstyle="miter"/>
            <v:imagedata r:id="rId61" o:title=""/>
            <o:lock v:ext="edit" aspectratio="t"/>
            <w10:wrap type="none"/>
            <w10:anchorlock/>
          </v:shape>
          <o:OLEObject Type="Embed" ProgID="PowerPoint.Slide.12" ShapeID="_x0000_i1035" DrawAspect="Content" ObjectID="_1468075735" r:id="rId60">
            <o:LockedField>false</o:LockedField>
          </o:OLEObject>
        </w:object>
      </w:r>
    </w:p>
    <w:p>
      <w:pPr>
        <w:pStyle w:val="6"/>
        <w:spacing w:line="360" w:lineRule="auto"/>
        <w:rPr>
          <w:szCs w:val="24"/>
        </w:rPr>
      </w:pPr>
      <w:r>
        <w:rPr>
          <w:rFonts w:hint="eastAsia"/>
          <w:szCs w:val="24"/>
        </w:rPr>
        <w:t>数据安全</w:t>
      </w:r>
    </w:p>
    <w:p>
      <w:pPr>
        <w:spacing w:line="360" w:lineRule="auto"/>
        <w:rPr>
          <w:sz w:val="24"/>
          <w:szCs w:val="24"/>
        </w:rPr>
      </w:pPr>
      <w:r>
        <w:rPr>
          <w:rFonts w:hint="eastAsia"/>
          <w:sz w:val="24"/>
          <w:szCs w:val="24"/>
        </w:rPr>
        <w:t>数据安全包括内核层安全、数据层安全和业务层安全三个方面。</w:t>
      </w:r>
    </w:p>
    <w:p>
      <w:pPr>
        <w:spacing w:line="360" w:lineRule="auto"/>
        <w:rPr>
          <w:sz w:val="24"/>
          <w:szCs w:val="24"/>
        </w:rPr>
      </w:pPr>
      <w:r>
        <w:rPr>
          <w:rFonts w:hint="eastAsia"/>
          <w:sz w:val="24"/>
          <w:szCs w:val="24"/>
        </w:rPr>
        <w:t>虚拟化内核层安全是引入虚拟化技术之后面临的首要问题，所谓内核层安全，其本质是自身系统架构的安全，而系统架构安全中，最重要的就是虚拟化系统自身的完整性问题、虚拟资源的安全隔离问题和虚拟化系统的漏洞防护问题。虚拟化系统自身完整性问题需要解决的是虚拟化系统遭受攻击和破坏的情况下的自修复问题，虚拟资源的安全隔离问题需要解决的是多个虚拟机共享底层硬件资源时的安全隔离问题，虚拟化系统漏洞防护问题则是持续解决软件或服务自身的代码缺陷问题。</w:t>
      </w:r>
    </w:p>
    <w:p>
      <w:pPr>
        <w:spacing w:line="360" w:lineRule="auto"/>
        <w:rPr>
          <w:sz w:val="24"/>
          <w:szCs w:val="24"/>
        </w:rPr>
      </w:pPr>
      <w:r>
        <w:rPr>
          <w:rFonts w:hint="eastAsia"/>
          <w:sz w:val="24"/>
          <w:szCs w:val="24"/>
        </w:rPr>
        <w:t>数据层安全主要关注虚拟机的计算数据和存储数据安全，例如，虚拟机磁盘的加密，可以有效杜绝虚拟磁盘非授权访问导致的敏感数据泄露问题；虚拟机迁移信道加密，可以防止可能的数据平面监听攻击和篡改攻击；资源残留信息安全，可以解决内存数据和磁盘数据在虚拟机关闭或销毁后的残留信息导致的信息泄露问题；涉密系统分级保护和安全可信区域，可以有效地从管理层面控制涉密信息系统的流向问题；虚拟机备份和存储级别的容灾管理则从虚拟机数据的备份角度尽可能减少极端情况下的数据恢复问题。</w:t>
      </w:r>
    </w:p>
    <w:p>
      <w:pPr>
        <w:spacing w:line="360" w:lineRule="auto"/>
        <w:rPr>
          <w:sz w:val="24"/>
          <w:szCs w:val="24"/>
        </w:rPr>
      </w:pPr>
      <w:r>
        <w:rPr>
          <w:rFonts w:hint="eastAsia"/>
          <w:sz w:val="24"/>
          <w:szCs w:val="24"/>
        </w:rPr>
        <w:t>业务层安全主要从网络层面通过ACL（二层、三层、四层、基于时间段、基于协议状态等的包过滤）、QoS、VLAN、端口镜像等功能监控虚拟机的业务I/O流量，并将传统网络中的防病毒方案引入到虚拟化内核架构中，形成简单易用的无代理虚拟化杀毒方案，另外，从云安全的角度，提供了包括防病毒和ACL等在内的云业务申请与审批电子流功能。</w:t>
      </w:r>
    </w:p>
    <w:p>
      <w:pPr>
        <w:pStyle w:val="6"/>
        <w:spacing w:line="360" w:lineRule="auto"/>
        <w:rPr>
          <w:szCs w:val="24"/>
        </w:rPr>
      </w:pPr>
      <w:r>
        <w:rPr>
          <w:rFonts w:hint="eastAsia"/>
          <w:szCs w:val="24"/>
        </w:rPr>
        <w:t>管理安全</w:t>
      </w:r>
    </w:p>
    <w:p>
      <w:pPr>
        <w:spacing w:line="360" w:lineRule="auto"/>
        <w:rPr>
          <w:sz w:val="24"/>
          <w:szCs w:val="24"/>
        </w:rPr>
      </w:pPr>
      <w:r>
        <w:rPr>
          <w:rFonts w:hint="eastAsia"/>
          <w:sz w:val="24"/>
          <w:szCs w:val="24"/>
        </w:rPr>
        <w:t>从虚拟化管理平台的可访问角度对虚拟化系统与环境进行安全控制，包括高强度的USB Key与口令双因子认证、用户帐号与密码的强安全、虚拟化管理平台的访问安全、涉密信息系统中的三员分立管理模式、多租户业务模式下的资源安全隔离和细粒度的资源访问权限管理等。</w:t>
      </w:r>
    </w:p>
    <w:p>
      <w:pPr>
        <w:pStyle w:val="6"/>
        <w:spacing w:line="360" w:lineRule="auto"/>
        <w:rPr>
          <w:szCs w:val="24"/>
        </w:rPr>
      </w:pPr>
      <w:r>
        <w:rPr>
          <w:rFonts w:hint="eastAsia"/>
          <w:szCs w:val="24"/>
        </w:rPr>
        <w:t>安全监控</w:t>
      </w:r>
    </w:p>
    <w:p>
      <w:pPr>
        <w:spacing w:line="360" w:lineRule="auto"/>
        <w:rPr>
          <w:sz w:val="24"/>
          <w:szCs w:val="24"/>
        </w:rPr>
      </w:pPr>
      <w:r>
        <w:rPr>
          <w:rFonts w:hint="eastAsia"/>
          <w:sz w:val="24"/>
          <w:szCs w:val="24"/>
        </w:rPr>
        <w:t>无论是数据安全，还是管理安全，也无论是物理资源，还是虚拟资源或系统状态信息，超融合环境中的所有告警消息都会通过界面、邮件和/或短信等方式进行通知，以便管理员能够及时进行处理，避免安全风险的进一步扩大化。</w:t>
      </w:r>
    </w:p>
    <w:p>
      <w:pPr>
        <w:pStyle w:val="6"/>
        <w:spacing w:line="360" w:lineRule="auto"/>
        <w:rPr>
          <w:szCs w:val="24"/>
        </w:rPr>
      </w:pPr>
      <w:r>
        <w:rPr>
          <w:rFonts w:hint="eastAsia"/>
          <w:szCs w:val="24"/>
        </w:rPr>
        <w:t>安全审计</w:t>
      </w:r>
    </w:p>
    <w:p>
      <w:pPr>
        <w:spacing w:line="360" w:lineRule="auto"/>
        <w:rPr>
          <w:sz w:val="24"/>
          <w:szCs w:val="24"/>
        </w:rPr>
      </w:pPr>
      <w:r>
        <w:rPr>
          <w:rFonts w:hint="eastAsia"/>
          <w:sz w:val="24"/>
          <w:szCs w:val="24"/>
        </w:rPr>
        <w:t>在超融合安全防护体系架构中，还有一个非常重要的环节，就是安全审计，包括管理员操作和资源访问行为审计、操作和</w:t>
      </w:r>
      <w:r>
        <w:rPr>
          <w:sz w:val="24"/>
          <w:szCs w:val="24"/>
        </w:rPr>
        <w:t>系统日志</w:t>
      </w:r>
      <w:r>
        <w:rPr>
          <w:rFonts w:hint="eastAsia"/>
          <w:sz w:val="24"/>
          <w:szCs w:val="24"/>
        </w:rPr>
        <w:t>的审计查阅与定期转储等</w:t>
      </w:r>
      <w:r>
        <w:rPr>
          <w:sz w:val="24"/>
          <w:szCs w:val="24"/>
        </w:rPr>
        <w:t>，同时，</w:t>
      </w:r>
      <w:r>
        <w:rPr>
          <w:rFonts w:hint="eastAsia"/>
          <w:sz w:val="24"/>
          <w:szCs w:val="24"/>
        </w:rPr>
        <w:t>在企业IT运维管理体系中，往往都有存量的安全监管平台，这些安全监管平台负责接收来自不同IT系统的告警消息和日志消息，以工单方式自动处理这些告警，或者定期对日志消息进行事后审计。引入超融合技术之后，超融合系统环境产生的告警消息和日志消息必须能够以标准化的方式或企业私有化的方式发送给安全监管平台，这就要求超融合系统必须公开REST API接口和Web Service接口供安全监管平台调用，或者以Syslog、SNMP方式主动上报给安全监管平台，与企业现有的安全监管平台对接形成完整的IT运维管理方案。</w:t>
      </w:r>
    </w:p>
    <w:p>
      <w:pPr>
        <w:rPr>
          <w:sz w:val="24"/>
          <w:szCs w:val="24"/>
        </w:rPr>
      </w:pPr>
    </w:p>
    <w:p>
      <w:pPr>
        <w:pStyle w:val="5"/>
        <w:rPr>
          <w:sz w:val="24"/>
          <w:szCs w:val="24"/>
        </w:rPr>
      </w:pPr>
      <w:bookmarkStart w:id="75" w:name="_Toc31704614"/>
      <w:r>
        <w:rPr>
          <w:rFonts w:hint="eastAsia"/>
          <w:sz w:val="24"/>
          <w:szCs w:val="24"/>
        </w:rPr>
        <w:t>管理</w:t>
      </w:r>
      <w:r>
        <w:rPr>
          <w:sz w:val="24"/>
          <w:szCs w:val="24"/>
        </w:rPr>
        <w:t>平台</w:t>
      </w:r>
      <w:bookmarkEnd w:id="75"/>
    </w:p>
    <w:p>
      <w:pPr>
        <w:pStyle w:val="6"/>
        <w:spacing w:line="360" w:lineRule="auto"/>
        <w:rPr>
          <w:szCs w:val="24"/>
        </w:rPr>
      </w:pPr>
      <w:r>
        <w:rPr>
          <w:rFonts w:hint="eastAsia"/>
          <w:szCs w:val="24"/>
        </w:rPr>
        <w:t>概述</w:t>
      </w:r>
    </w:p>
    <w:p>
      <w:pPr>
        <w:spacing w:line="360" w:lineRule="auto"/>
        <w:rPr>
          <w:sz w:val="24"/>
          <w:szCs w:val="24"/>
        </w:rPr>
      </w:pPr>
      <w:r>
        <w:rPr>
          <w:rFonts w:hint="eastAsia"/>
          <w:sz w:val="24"/>
          <w:szCs w:val="24"/>
        </w:rPr>
        <w:t>H3C UIS Manager超融合</w:t>
      </w:r>
      <w:r>
        <w:rPr>
          <w:sz w:val="24"/>
          <w:szCs w:val="24"/>
        </w:rPr>
        <w:t>管理</w:t>
      </w:r>
      <w:r>
        <w:rPr>
          <w:rFonts w:hint="eastAsia"/>
          <w:sz w:val="24"/>
          <w:szCs w:val="24"/>
        </w:rPr>
        <w:t>平台</w:t>
      </w:r>
      <w:r>
        <w:rPr>
          <w:sz w:val="24"/>
          <w:szCs w:val="24"/>
        </w:rPr>
        <w:t>软件</w:t>
      </w:r>
      <w:r>
        <w:rPr>
          <w:rFonts w:hint="eastAsia"/>
          <w:sz w:val="24"/>
          <w:szCs w:val="24"/>
        </w:rPr>
        <w:t>主要实现对计算、网络和存储等硬件资源的软件虚拟化管理，对上层应用提供资源配置服务。其业务范围包括：物理</w:t>
      </w:r>
      <w:r>
        <w:rPr>
          <w:sz w:val="24"/>
          <w:szCs w:val="24"/>
        </w:rPr>
        <w:t>与虚拟资源融合管理</w:t>
      </w:r>
      <w:r>
        <w:rPr>
          <w:rFonts w:hint="eastAsia"/>
          <w:sz w:val="24"/>
          <w:szCs w:val="24"/>
        </w:rPr>
        <w:t>、虚拟化</w:t>
      </w:r>
      <w:r>
        <w:rPr>
          <w:sz w:val="24"/>
          <w:szCs w:val="24"/>
        </w:rPr>
        <w:t>计算与存储资源自动调度管理、</w:t>
      </w:r>
      <w:r>
        <w:rPr>
          <w:rFonts w:hint="eastAsia"/>
          <w:sz w:val="24"/>
          <w:szCs w:val="24"/>
        </w:rPr>
        <w:t>分布式</w:t>
      </w:r>
      <w:r>
        <w:rPr>
          <w:sz w:val="24"/>
          <w:szCs w:val="24"/>
        </w:rPr>
        <w:t>存储</w:t>
      </w:r>
      <w:r>
        <w:rPr>
          <w:rFonts w:hint="eastAsia"/>
          <w:sz w:val="24"/>
          <w:szCs w:val="24"/>
        </w:rPr>
        <w:t>配置与</w:t>
      </w:r>
      <w:r>
        <w:rPr>
          <w:sz w:val="24"/>
          <w:szCs w:val="24"/>
        </w:rPr>
        <w:t>监控管理</w:t>
      </w:r>
      <w:r>
        <w:rPr>
          <w:rFonts w:hint="eastAsia"/>
          <w:sz w:val="24"/>
          <w:szCs w:val="24"/>
        </w:rPr>
        <w:t>、虚拟化</w:t>
      </w:r>
      <w:r>
        <w:rPr>
          <w:sz w:val="24"/>
          <w:szCs w:val="24"/>
        </w:rPr>
        <w:t>网络策略管理、</w:t>
      </w:r>
      <w:r>
        <w:rPr>
          <w:rFonts w:hint="eastAsia"/>
          <w:sz w:val="24"/>
          <w:szCs w:val="24"/>
        </w:rPr>
        <w:t>虚拟化</w:t>
      </w:r>
      <w:r>
        <w:rPr>
          <w:sz w:val="24"/>
          <w:szCs w:val="24"/>
        </w:rPr>
        <w:t>安全</w:t>
      </w:r>
      <w:r>
        <w:rPr>
          <w:rFonts w:hint="eastAsia"/>
          <w:sz w:val="24"/>
          <w:szCs w:val="24"/>
        </w:rPr>
        <w:t>管理</w:t>
      </w:r>
      <w:r>
        <w:rPr>
          <w:sz w:val="24"/>
          <w:szCs w:val="24"/>
        </w:rPr>
        <w:t>、</w:t>
      </w:r>
      <w:r>
        <w:rPr>
          <w:rFonts w:hint="eastAsia"/>
          <w:sz w:val="24"/>
          <w:szCs w:val="24"/>
        </w:rPr>
        <w:t>GPU（Graphics Processing Unit，图形处理单元）外设资源池管理</w:t>
      </w:r>
      <w:r>
        <w:rPr>
          <w:sz w:val="24"/>
          <w:szCs w:val="24"/>
        </w:rPr>
        <w:t>、</w:t>
      </w:r>
      <w:r>
        <w:rPr>
          <w:rFonts w:hint="eastAsia"/>
          <w:sz w:val="24"/>
          <w:szCs w:val="24"/>
        </w:rPr>
        <w:t>一键</w:t>
      </w:r>
      <w:r>
        <w:rPr>
          <w:sz w:val="24"/>
          <w:szCs w:val="24"/>
        </w:rPr>
        <w:t>式运维操作管理、自助式云业务流程与交付管理</w:t>
      </w:r>
      <w:r>
        <w:rPr>
          <w:rFonts w:hint="eastAsia"/>
          <w:sz w:val="24"/>
          <w:szCs w:val="24"/>
        </w:rPr>
        <w:t>等，同时，H3C UIS Manager超融合管理平台提供开放的北向REST服务接口和兼容OpenStack的插件接口，分别实现与第三方云管理平台和标准的OpenStack云平台（包括Havana、Juno、Kilo、Liberty、Mitaka、</w:t>
      </w:r>
      <w:r>
        <w:rPr>
          <w:sz w:val="24"/>
          <w:szCs w:val="24"/>
        </w:rPr>
        <w:t>Pike</w:t>
      </w:r>
      <w:r>
        <w:rPr>
          <w:rFonts w:hint="eastAsia"/>
          <w:sz w:val="24"/>
          <w:szCs w:val="24"/>
        </w:rPr>
        <w:t>等版本）的对接，屏蔽底层复杂和异构的虚拟化基础架构，为客户提供专业级的云管理平台对接服务。</w:t>
      </w:r>
    </w:p>
    <w:p>
      <w:r>
        <w:object>
          <v:shape id="_x0000_i1036" o:spt="75" type="#_x0000_t75" style="height:253.5pt;width:478.5pt;" o:ole="t" filled="f" o:preferrelative="t" stroked="f" coordsize="21600,21600">
            <v:path/>
            <v:fill on="f" focussize="0,0"/>
            <v:stroke on="f" joinstyle="miter"/>
            <v:imagedata r:id="rId63" o:title=""/>
            <o:lock v:ext="edit" aspectratio="t"/>
            <w10:wrap type="none"/>
            <w10:anchorlock/>
          </v:shape>
          <o:OLEObject Type="Embed" ProgID="PowerPoint.Slide.12" ShapeID="_x0000_i1036" DrawAspect="Content" ObjectID="_1468075736" r:id="rId62">
            <o:LockedField>false</o:LockedField>
          </o:OLEObject>
        </w:object>
      </w:r>
    </w:p>
    <w:p>
      <w:pPr>
        <w:spacing w:line="360" w:lineRule="auto"/>
        <w:rPr>
          <w:sz w:val="24"/>
          <w:szCs w:val="24"/>
        </w:rPr>
      </w:pPr>
      <w:r>
        <w:rPr>
          <w:rFonts w:hint="eastAsia"/>
          <w:sz w:val="24"/>
          <w:szCs w:val="24"/>
        </w:rPr>
        <w:t>管理</w:t>
      </w:r>
      <w:r>
        <w:rPr>
          <w:sz w:val="24"/>
          <w:szCs w:val="24"/>
        </w:rPr>
        <w:t>平台</w:t>
      </w:r>
      <w:r>
        <w:rPr>
          <w:rFonts w:hint="eastAsia"/>
          <w:sz w:val="24"/>
          <w:szCs w:val="24"/>
        </w:rPr>
        <w:t>支持图形化配置管理平台双机，一键切换主备，可</w:t>
      </w:r>
      <w:r>
        <w:rPr>
          <w:sz w:val="24"/>
          <w:szCs w:val="24"/>
        </w:rPr>
        <w:t>支持</w:t>
      </w:r>
      <w:r>
        <w:rPr>
          <w:rFonts w:hint="eastAsia"/>
          <w:sz w:val="24"/>
          <w:szCs w:val="24"/>
        </w:rPr>
        <w:t>不独占服务器进行</w:t>
      </w:r>
      <w:r>
        <w:rPr>
          <w:sz w:val="24"/>
          <w:szCs w:val="24"/>
        </w:rPr>
        <w:t>部署</w:t>
      </w:r>
      <w:r>
        <w:rPr>
          <w:rFonts w:hint="eastAsia"/>
          <w:sz w:val="24"/>
          <w:szCs w:val="24"/>
        </w:rPr>
        <w:t>，支持第三节点仲裁判断，降低脑裂风险支持配置数据的手工和定时备份，本地和远端备份，并利用备份数据快速恢复管理节点作为正常计算节点使用。</w:t>
      </w:r>
    </w:p>
    <w:p>
      <w:pPr>
        <w:rPr>
          <w:sz w:val="24"/>
          <w:szCs w:val="24"/>
        </w:rPr>
      </w:pPr>
      <w:r>
        <w:rPr>
          <w:sz w:val="24"/>
          <w:szCs w:val="24"/>
        </w:rPr>
        <w:drawing>
          <wp:inline distT="0" distB="0" distL="0" distR="0">
            <wp:extent cx="5142865" cy="2988310"/>
            <wp:effectExtent l="0" t="0" r="635" b="254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64"/>
                    <a:stretch>
                      <a:fillRect/>
                    </a:stretch>
                  </pic:blipFill>
                  <pic:spPr>
                    <a:xfrm>
                      <a:off x="0" y="0"/>
                      <a:ext cx="5180115" cy="3009590"/>
                    </a:xfrm>
                    <a:prstGeom prst="rect">
                      <a:avLst/>
                    </a:prstGeom>
                  </pic:spPr>
                </pic:pic>
              </a:graphicData>
            </a:graphic>
          </wp:inline>
        </w:drawing>
      </w:r>
    </w:p>
    <w:p>
      <w:pPr>
        <w:pStyle w:val="6"/>
        <w:spacing w:line="360" w:lineRule="auto"/>
        <w:rPr>
          <w:szCs w:val="24"/>
        </w:rPr>
      </w:pPr>
      <w:r>
        <w:rPr>
          <w:rFonts w:hint="eastAsia"/>
          <w:szCs w:val="24"/>
        </w:rPr>
        <w:t xml:space="preserve">UIS </w:t>
      </w:r>
      <w:r>
        <w:rPr>
          <w:szCs w:val="24"/>
        </w:rPr>
        <w:t>manager主要</w:t>
      </w:r>
      <w:r>
        <w:rPr>
          <w:rFonts w:hint="eastAsia"/>
          <w:szCs w:val="24"/>
        </w:rPr>
        <w:t>优势</w:t>
      </w:r>
    </w:p>
    <w:p>
      <w:pPr>
        <w:pStyle w:val="129"/>
        <w:widowControl w:val="0"/>
        <w:numPr>
          <w:ilvl w:val="0"/>
          <w:numId w:val="31"/>
        </w:numPr>
        <w:spacing w:before="160" w:after="120" w:line="360" w:lineRule="auto"/>
        <w:ind w:firstLineChars="0"/>
        <w:jc w:val="left"/>
        <w:rPr>
          <w:sz w:val="24"/>
          <w:szCs w:val="24"/>
        </w:rPr>
      </w:pPr>
      <w:r>
        <w:rPr>
          <w:rFonts w:hint="eastAsia"/>
          <w:sz w:val="24"/>
          <w:szCs w:val="24"/>
        </w:rPr>
        <w:t>融合</w:t>
      </w:r>
    </w:p>
    <w:p>
      <w:pPr>
        <w:pStyle w:val="161"/>
        <w:spacing w:line="360" w:lineRule="auto"/>
        <w:rPr>
          <w:sz w:val="24"/>
        </w:rPr>
      </w:pPr>
      <w:r>
        <w:rPr>
          <w:rFonts w:hint="eastAsia" w:ascii="宋体" w:hAnsi="宋体" w:eastAsia="宋体" w:cs="宋体"/>
          <w:sz w:val="24"/>
        </w:rPr>
        <w:t>作为</w:t>
      </w:r>
      <w:r>
        <w:rPr>
          <w:rFonts w:hint="eastAsia"/>
          <w:sz w:val="24"/>
        </w:rPr>
        <w:t>H3C UIS</w:t>
      </w:r>
      <w:r>
        <w:rPr>
          <w:rFonts w:hint="eastAsia" w:ascii="宋体" w:hAnsi="宋体" w:eastAsia="宋体" w:cs="宋体"/>
          <w:sz w:val="24"/>
        </w:rPr>
        <w:t>统一基础架构系统的重要组件，</w:t>
      </w:r>
      <w:r>
        <w:rPr>
          <w:rFonts w:hint="eastAsia"/>
          <w:sz w:val="24"/>
        </w:rPr>
        <w:t>UIS</w:t>
      </w:r>
      <w:r>
        <w:rPr>
          <w:rFonts w:hint="eastAsia" w:ascii="宋体" w:hAnsi="宋体" w:eastAsia="宋体" w:cs="宋体"/>
          <w:sz w:val="24"/>
        </w:rPr>
        <w:t>统一管理矩阵也充分体现出深度融合的特性。</w:t>
      </w:r>
      <w:r>
        <w:rPr>
          <w:rFonts w:hint="eastAsia"/>
          <w:sz w:val="24"/>
        </w:rPr>
        <w:t>UIS</w:t>
      </w:r>
      <w:r>
        <w:rPr>
          <w:rFonts w:hint="eastAsia" w:ascii="宋体" w:hAnsi="宋体" w:eastAsia="宋体" w:cs="宋体"/>
          <w:sz w:val="24"/>
        </w:rPr>
        <w:t>统一管理矩阵集服务器、交换机、</w:t>
      </w:r>
      <w:r>
        <w:rPr>
          <w:rFonts w:hint="eastAsia"/>
          <w:sz w:val="24"/>
        </w:rPr>
        <w:t>KVM</w:t>
      </w:r>
      <w:r>
        <w:rPr>
          <w:rFonts w:hint="eastAsia" w:ascii="宋体" w:hAnsi="宋体" w:eastAsia="宋体" w:cs="宋体"/>
          <w:sz w:val="24"/>
        </w:rPr>
        <w:t>控制器、统一管理软件等设备于一体，创新的将统一管理、路由交换、</w:t>
      </w:r>
      <w:r>
        <w:rPr>
          <w:rFonts w:hint="eastAsia"/>
          <w:sz w:val="24"/>
        </w:rPr>
        <w:t>KVM</w:t>
      </w:r>
      <w:r>
        <w:rPr>
          <w:rFonts w:hint="eastAsia" w:ascii="宋体" w:hAnsi="宋体" w:eastAsia="宋体" w:cs="宋体"/>
          <w:sz w:val="24"/>
        </w:rPr>
        <w:t>切换等功能进行融合。不仅大大降低设备采购费用的同时，降低了维护难度。</w:t>
      </w:r>
    </w:p>
    <w:p>
      <w:pPr>
        <w:pStyle w:val="129"/>
        <w:widowControl w:val="0"/>
        <w:numPr>
          <w:ilvl w:val="0"/>
          <w:numId w:val="31"/>
        </w:numPr>
        <w:spacing w:before="160" w:after="120" w:line="360" w:lineRule="auto"/>
        <w:ind w:firstLineChars="0"/>
        <w:jc w:val="left"/>
        <w:rPr>
          <w:sz w:val="24"/>
          <w:szCs w:val="24"/>
        </w:rPr>
      </w:pPr>
      <w:r>
        <w:rPr>
          <w:rFonts w:hint="eastAsia"/>
          <w:sz w:val="24"/>
          <w:szCs w:val="24"/>
        </w:rPr>
        <w:t>资源一站式监控</w:t>
      </w:r>
    </w:p>
    <w:p>
      <w:pPr>
        <w:pStyle w:val="161"/>
        <w:spacing w:line="360" w:lineRule="auto"/>
        <w:rPr>
          <w:sz w:val="24"/>
        </w:rPr>
      </w:pPr>
      <w:r>
        <w:rPr>
          <w:rFonts w:hint="eastAsia"/>
          <w:sz w:val="24"/>
        </w:rPr>
        <w:t xml:space="preserve">UIS </w:t>
      </w:r>
      <w:r>
        <w:rPr>
          <w:rFonts w:hint="eastAsia" w:ascii="宋体" w:hAnsi="宋体" w:eastAsia="宋体" w:cs="宋体"/>
          <w:sz w:val="24"/>
        </w:rPr>
        <w:t>统一管理矩阵提供了数据中心的统一门户，通过单点登录方式，提供了对数据中心内服务器、网络、存储、服务器虚拟化、负载均衡设备、机柜、上层业务等资源的一体化管理，实现了一个平台内对所有业务的上线、资源的统计和设备的管理。从数据中心机房建模、设备装机模拟、</w:t>
      </w:r>
      <w:r>
        <w:rPr>
          <w:rFonts w:hint="eastAsia"/>
          <w:sz w:val="24"/>
        </w:rPr>
        <w:t>IT</w:t>
      </w:r>
      <w:r>
        <w:rPr>
          <w:rFonts w:hint="eastAsia" w:ascii="宋体" w:hAnsi="宋体" w:eastAsia="宋体" w:cs="宋体"/>
          <w:sz w:val="24"/>
        </w:rPr>
        <w:t>资产管理、拓扑呈现等</w:t>
      </w:r>
      <w:r>
        <w:rPr>
          <w:rFonts w:hint="eastAsia"/>
          <w:sz w:val="24"/>
        </w:rPr>
        <w:t>IT</w:t>
      </w:r>
      <w:r>
        <w:rPr>
          <w:rFonts w:hint="eastAsia" w:ascii="宋体" w:hAnsi="宋体" w:eastAsia="宋体" w:cs="宋体"/>
          <w:sz w:val="24"/>
        </w:rPr>
        <w:t>机房的管理，到设备的配置和监控、应用监控等</w:t>
      </w:r>
      <w:r>
        <w:rPr>
          <w:rFonts w:hint="eastAsia"/>
          <w:sz w:val="24"/>
        </w:rPr>
        <w:t>IT</w:t>
      </w:r>
      <w:r>
        <w:rPr>
          <w:rFonts w:hint="eastAsia" w:ascii="宋体" w:hAnsi="宋体" w:eastAsia="宋体" w:cs="宋体"/>
          <w:sz w:val="24"/>
        </w:rPr>
        <w:t>设备的管理，</w:t>
      </w:r>
      <w:r>
        <w:rPr>
          <w:rFonts w:hint="eastAsia"/>
          <w:sz w:val="24"/>
        </w:rPr>
        <w:t xml:space="preserve"> UIS</w:t>
      </w:r>
      <w:r>
        <w:rPr>
          <w:rFonts w:hint="eastAsia" w:ascii="宋体" w:hAnsi="宋体" w:eastAsia="宋体" w:cs="宋体"/>
          <w:sz w:val="24"/>
        </w:rPr>
        <w:t>统一管理矩阵提供了业界最全的数据中心管理功能。</w:t>
      </w:r>
    </w:p>
    <w:p>
      <w:pPr>
        <w:pStyle w:val="129"/>
        <w:widowControl w:val="0"/>
        <w:numPr>
          <w:ilvl w:val="0"/>
          <w:numId w:val="31"/>
        </w:numPr>
        <w:spacing w:before="160" w:after="120" w:line="360" w:lineRule="auto"/>
        <w:ind w:firstLineChars="0"/>
        <w:jc w:val="left"/>
        <w:rPr>
          <w:sz w:val="24"/>
          <w:szCs w:val="24"/>
        </w:rPr>
      </w:pPr>
      <w:r>
        <w:rPr>
          <w:rFonts w:hint="eastAsia"/>
          <w:sz w:val="24"/>
          <w:szCs w:val="24"/>
        </w:rPr>
        <w:t>设备自助上线</w:t>
      </w:r>
    </w:p>
    <w:p>
      <w:pPr>
        <w:pStyle w:val="161"/>
        <w:spacing w:line="360" w:lineRule="auto"/>
        <w:rPr>
          <w:sz w:val="24"/>
        </w:rPr>
      </w:pPr>
      <w:r>
        <w:rPr>
          <w:rFonts w:hint="eastAsia"/>
          <w:sz w:val="24"/>
        </w:rPr>
        <w:t>UIS</w:t>
      </w:r>
      <w:r>
        <w:rPr>
          <w:rFonts w:hint="eastAsia" w:ascii="宋体" w:hAnsi="宋体" w:eastAsia="宋体" w:cs="宋体"/>
          <w:sz w:val="24"/>
        </w:rPr>
        <w:t>统一管理矩阵提供了设备自助上线功能，通过预配置好的服务器模板，当有设备需要上线，只需通过一键拖拽的方式将配置下发给该设备，之后此设备便会自动配置和安装</w:t>
      </w:r>
      <w:r>
        <w:rPr>
          <w:rFonts w:hint="eastAsia"/>
          <w:sz w:val="24"/>
        </w:rPr>
        <w:t>OS</w:t>
      </w:r>
      <w:r>
        <w:rPr>
          <w:rFonts w:hint="eastAsia" w:ascii="宋体" w:hAnsi="宋体" w:eastAsia="宋体" w:cs="宋体"/>
          <w:sz w:val="24"/>
        </w:rPr>
        <w:t>。当有大量设备需要上线时，操作依然如此简单，极大的节约了设备上线的速度以及管理员的工作量。</w:t>
      </w:r>
    </w:p>
    <w:p>
      <w:pPr>
        <w:pStyle w:val="129"/>
        <w:widowControl w:val="0"/>
        <w:numPr>
          <w:ilvl w:val="0"/>
          <w:numId w:val="31"/>
        </w:numPr>
        <w:spacing w:before="160" w:after="120" w:line="360" w:lineRule="auto"/>
        <w:ind w:firstLineChars="0"/>
        <w:jc w:val="left"/>
        <w:rPr>
          <w:sz w:val="24"/>
          <w:szCs w:val="24"/>
        </w:rPr>
      </w:pPr>
      <w:r>
        <w:rPr>
          <w:rFonts w:hint="eastAsia"/>
          <w:sz w:val="24"/>
          <w:szCs w:val="24"/>
        </w:rPr>
        <w:t>应用一键部署</w:t>
      </w:r>
    </w:p>
    <w:p>
      <w:pPr>
        <w:pStyle w:val="161"/>
        <w:spacing w:line="360" w:lineRule="auto"/>
        <w:rPr>
          <w:sz w:val="24"/>
        </w:rPr>
      </w:pPr>
      <w:r>
        <w:rPr>
          <w:rFonts w:hint="eastAsia"/>
          <w:sz w:val="24"/>
        </w:rPr>
        <w:t>UIS</w:t>
      </w:r>
      <w:r>
        <w:rPr>
          <w:rFonts w:hint="eastAsia" w:ascii="宋体" w:hAnsi="宋体" w:eastAsia="宋体" w:cs="宋体"/>
          <w:sz w:val="24"/>
        </w:rPr>
        <w:t>统一管理矩阵提供了应用一键部署功能，管理员只需填写该应用需要的计算、网络、存储、</w:t>
      </w:r>
      <w:r>
        <w:rPr>
          <w:rFonts w:hint="eastAsia"/>
          <w:sz w:val="24"/>
        </w:rPr>
        <w:t>OS</w:t>
      </w:r>
      <w:r>
        <w:rPr>
          <w:rFonts w:hint="eastAsia" w:ascii="宋体" w:hAnsi="宋体" w:eastAsia="宋体" w:cs="宋体"/>
          <w:sz w:val="24"/>
        </w:rPr>
        <w:t>等资源，点击</w:t>
      </w:r>
      <w:r>
        <w:rPr>
          <w:rFonts w:ascii="Century Gothic" w:hAnsi="Century Gothic" w:cs="Century Gothic"/>
          <w:sz w:val="24"/>
        </w:rPr>
        <w:t>“</w:t>
      </w:r>
      <w:r>
        <w:rPr>
          <w:rFonts w:hint="eastAsia" w:ascii="宋体" w:hAnsi="宋体" w:eastAsia="宋体" w:cs="宋体"/>
          <w:sz w:val="24"/>
        </w:rPr>
        <w:t>一键部署</w:t>
      </w:r>
      <w:r>
        <w:rPr>
          <w:rFonts w:ascii="Century Gothic" w:hAnsi="Century Gothic" w:cs="Century Gothic"/>
          <w:sz w:val="24"/>
        </w:rPr>
        <w:t>”</w:t>
      </w:r>
      <w:r>
        <w:rPr>
          <w:rFonts w:hint="eastAsia" w:ascii="宋体" w:hAnsi="宋体" w:eastAsia="宋体" w:cs="宋体"/>
          <w:sz w:val="24"/>
        </w:rPr>
        <w:t>按键，</w:t>
      </w:r>
      <w:r>
        <w:rPr>
          <w:rFonts w:hint="eastAsia"/>
          <w:sz w:val="24"/>
        </w:rPr>
        <w:t>UIS</w:t>
      </w:r>
      <w:r>
        <w:rPr>
          <w:rFonts w:hint="eastAsia" w:ascii="宋体" w:hAnsi="宋体" w:eastAsia="宋体" w:cs="宋体"/>
          <w:sz w:val="24"/>
        </w:rPr>
        <w:t>便会自动生成该应用。</w:t>
      </w:r>
      <w:r>
        <w:rPr>
          <w:rFonts w:hint="eastAsia"/>
          <w:sz w:val="24"/>
        </w:rPr>
        <w:t>UIS</w:t>
      </w:r>
      <w:r>
        <w:rPr>
          <w:rFonts w:hint="eastAsia" w:ascii="宋体" w:hAnsi="宋体" w:eastAsia="宋体" w:cs="宋体"/>
          <w:sz w:val="24"/>
        </w:rPr>
        <w:t>的一键部署功能，加快了业务上线的速度，减少了管理员的工作量。</w:t>
      </w:r>
    </w:p>
    <w:p>
      <w:pPr>
        <w:pStyle w:val="129"/>
        <w:widowControl w:val="0"/>
        <w:numPr>
          <w:ilvl w:val="0"/>
          <w:numId w:val="31"/>
        </w:numPr>
        <w:spacing w:before="160" w:after="120" w:line="360" w:lineRule="auto"/>
        <w:ind w:firstLineChars="0"/>
        <w:jc w:val="left"/>
        <w:rPr>
          <w:sz w:val="24"/>
          <w:szCs w:val="24"/>
        </w:rPr>
      </w:pPr>
      <w:r>
        <w:rPr>
          <w:rFonts w:hint="eastAsia"/>
          <w:sz w:val="24"/>
          <w:szCs w:val="24"/>
        </w:rPr>
        <w:t>资源弹性扩展</w:t>
      </w:r>
    </w:p>
    <w:p>
      <w:pPr>
        <w:pStyle w:val="161"/>
        <w:spacing w:line="360" w:lineRule="auto"/>
        <w:rPr>
          <w:sz w:val="24"/>
        </w:rPr>
      </w:pPr>
      <w:r>
        <w:rPr>
          <w:rFonts w:hint="eastAsia"/>
          <w:sz w:val="24"/>
        </w:rPr>
        <w:t>UIS</w:t>
      </w:r>
      <w:r>
        <w:rPr>
          <w:rFonts w:hint="eastAsia" w:ascii="宋体" w:hAnsi="宋体" w:eastAsia="宋体" w:cs="宋体"/>
          <w:sz w:val="24"/>
        </w:rPr>
        <w:t>统一管理矩阵提供了资源弹性扩展功能，在应用流量突发的情况下，无需新增物理设备，</w:t>
      </w:r>
      <w:r>
        <w:rPr>
          <w:rFonts w:hint="eastAsia"/>
          <w:sz w:val="24"/>
        </w:rPr>
        <w:t>UIS</w:t>
      </w:r>
      <w:r>
        <w:rPr>
          <w:rFonts w:hint="eastAsia" w:ascii="宋体" w:hAnsi="宋体" w:eastAsia="宋体" w:cs="宋体"/>
          <w:sz w:val="24"/>
        </w:rPr>
        <w:t>会自动扩展该应用需要的资源，以满足突发流量下的访问需求。当流量降下来之后，</w:t>
      </w:r>
      <w:r>
        <w:rPr>
          <w:rFonts w:hint="eastAsia"/>
          <w:sz w:val="24"/>
        </w:rPr>
        <w:t>UIS</w:t>
      </w:r>
      <w:r>
        <w:rPr>
          <w:rFonts w:hint="eastAsia" w:ascii="宋体" w:hAnsi="宋体" w:eastAsia="宋体" w:cs="宋体"/>
          <w:sz w:val="24"/>
        </w:rPr>
        <w:t>会自动回收相应的资源。资源扩展和回收的整个过程无需人工干预。</w:t>
      </w:r>
      <w:r>
        <w:rPr>
          <w:rFonts w:hint="eastAsia"/>
          <w:sz w:val="24"/>
        </w:rPr>
        <w:t>UIS</w:t>
      </w:r>
      <w:r>
        <w:rPr>
          <w:rFonts w:hint="eastAsia" w:ascii="宋体" w:hAnsi="宋体" w:eastAsia="宋体" w:cs="宋体"/>
          <w:sz w:val="24"/>
        </w:rPr>
        <w:t>资源弹性扩展功能带来了设备使用率的提高、应用需求的及时响应等价值。</w:t>
      </w:r>
    </w:p>
    <w:p>
      <w:pPr>
        <w:pStyle w:val="129"/>
        <w:widowControl w:val="0"/>
        <w:numPr>
          <w:ilvl w:val="0"/>
          <w:numId w:val="31"/>
        </w:numPr>
        <w:spacing w:before="160" w:after="120" w:line="360" w:lineRule="auto"/>
        <w:ind w:firstLineChars="0"/>
        <w:jc w:val="left"/>
        <w:rPr>
          <w:sz w:val="24"/>
          <w:szCs w:val="24"/>
        </w:rPr>
      </w:pPr>
      <w:r>
        <w:rPr>
          <w:rFonts w:hint="eastAsia"/>
          <w:sz w:val="24"/>
          <w:szCs w:val="24"/>
        </w:rPr>
        <w:t>问题事件快速处理</w:t>
      </w:r>
    </w:p>
    <w:p>
      <w:pPr>
        <w:pStyle w:val="161"/>
        <w:spacing w:line="360" w:lineRule="auto"/>
        <w:rPr>
          <w:sz w:val="24"/>
        </w:rPr>
      </w:pPr>
      <w:r>
        <w:rPr>
          <w:rFonts w:hint="eastAsia"/>
          <w:sz w:val="24"/>
        </w:rPr>
        <w:t>UIS</w:t>
      </w:r>
      <w:r>
        <w:rPr>
          <w:rFonts w:hint="eastAsia" w:ascii="宋体" w:hAnsi="宋体" w:eastAsia="宋体" w:cs="宋体"/>
          <w:sz w:val="24"/>
        </w:rPr>
        <w:t>统一管理矩阵提供了问题事件快速处理的功能。统一的监控平台，可以帮助管理员及时快速的定位出故障源。同时</w:t>
      </w:r>
      <w:r>
        <w:rPr>
          <w:rFonts w:hint="eastAsia"/>
          <w:sz w:val="24"/>
        </w:rPr>
        <w:t>UIS</w:t>
      </w:r>
      <w:r>
        <w:rPr>
          <w:rFonts w:hint="eastAsia" w:ascii="宋体" w:hAnsi="宋体" w:eastAsia="宋体" w:cs="宋体"/>
          <w:sz w:val="24"/>
        </w:rPr>
        <w:t>统一管理矩阵实现了业界独有的无状态数据中心，即将计算、网络和存储资源的配置与设备解关联，统一存放于</w:t>
      </w:r>
      <w:r>
        <w:rPr>
          <w:rFonts w:hint="eastAsia"/>
          <w:sz w:val="24"/>
        </w:rPr>
        <w:t>UIS</w:t>
      </w:r>
      <w:r>
        <w:rPr>
          <w:rFonts w:hint="eastAsia" w:ascii="宋体" w:hAnsi="宋体" w:eastAsia="宋体" w:cs="宋体"/>
          <w:sz w:val="24"/>
        </w:rPr>
        <w:t>统一管理矩阵中，资源池化的属性和配置信息可以下发给任意设备。无状态数据中心特性保证了当设备配件或整机更换时，设备的属性和配置信息可以保持不变，无需重新配置。</w:t>
      </w:r>
      <w:r>
        <w:rPr>
          <w:rFonts w:hint="eastAsia"/>
          <w:sz w:val="24"/>
        </w:rPr>
        <w:t>UIS</w:t>
      </w:r>
      <w:r>
        <w:rPr>
          <w:rFonts w:hint="eastAsia" w:ascii="宋体" w:hAnsi="宋体" w:eastAsia="宋体" w:cs="宋体"/>
          <w:sz w:val="24"/>
        </w:rPr>
        <w:t>的问题事件快速处理功能，相比于过去，至少降低了</w:t>
      </w:r>
      <w:r>
        <w:rPr>
          <w:rFonts w:hint="eastAsia"/>
          <w:sz w:val="24"/>
        </w:rPr>
        <w:t>80%</w:t>
      </w:r>
      <w:r>
        <w:rPr>
          <w:rFonts w:hint="eastAsia" w:ascii="宋体" w:hAnsi="宋体" w:eastAsia="宋体" w:cs="宋体"/>
          <w:sz w:val="24"/>
        </w:rPr>
        <w:t>的业务中断时间。</w:t>
      </w:r>
    </w:p>
    <w:p>
      <w:pPr>
        <w:spacing w:line="360" w:lineRule="auto"/>
        <w:rPr>
          <w:sz w:val="24"/>
          <w:szCs w:val="24"/>
        </w:rPr>
      </w:pPr>
    </w:p>
    <w:p>
      <w:pPr>
        <w:pStyle w:val="5"/>
        <w:rPr>
          <w:sz w:val="24"/>
          <w:szCs w:val="24"/>
        </w:rPr>
      </w:pPr>
      <w:bookmarkStart w:id="76" w:name="_Toc31704615"/>
      <w:r>
        <w:rPr>
          <w:rFonts w:hint="eastAsia"/>
          <w:sz w:val="24"/>
          <w:szCs w:val="24"/>
        </w:rPr>
        <w:t>云</w:t>
      </w:r>
      <w:r>
        <w:rPr>
          <w:sz w:val="24"/>
          <w:szCs w:val="24"/>
        </w:rPr>
        <w:t>业务</w:t>
      </w:r>
      <w:bookmarkEnd w:id="76"/>
    </w:p>
    <w:p>
      <w:pPr>
        <w:pStyle w:val="6"/>
        <w:spacing w:line="360" w:lineRule="auto"/>
        <w:rPr>
          <w:szCs w:val="24"/>
        </w:rPr>
      </w:pPr>
      <w:r>
        <w:rPr>
          <w:rFonts w:hint="eastAsia"/>
          <w:szCs w:val="24"/>
        </w:rPr>
        <w:t>概述</w:t>
      </w:r>
    </w:p>
    <w:p>
      <w:pPr>
        <w:spacing w:line="360" w:lineRule="auto"/>
        <w:rPr>
          <w:sz w:val="24"/>
          <w:szCs w:val="24"/>
        </w:rPr>
      </w:pPr>
      <w:r>
        <w:rPr>
          <w:rFonts w:hint="eastAsia"/>
          <w:sz w:val="24"/>
          <w:szCs w:val="24"/>
        </w:rPr>
        <w:t>云业务自助服务管理为用户提供了一个安全的、多租户的、可自助服务的IaaS，是一种全新的基础架构交付和使用模式。参考互联网公有云设计模型，H3C UIS Manager超融合管理平台提供虚拟资源池化功能，使IT部门能够将计算、存储和网络等物理资源抽象成按需提供的弹性虚拟资源池，以消费单元（即组织或虚拟数据中心）的形式对外提供服务，IT部门能够通过完全自动化的自助服务访问，为用户提供这些消费单元以及其它包括虚拟机和操作系统镜像等在内的基础架构和应用服务模板，最终用户只需要数分钟的时间即可完成私有云主机、云硬盘、云安全等的申请与使用，极大提升了用户云服务交付的灵活性，缩短了IT响应时间，真正实现了云计算的敏捷性、可控性和高效性，并极大程度地提高了业务的响应能力。</w:t>
      </w:r>
    </w:p>
    <w:p>
      <w:pPr>
        <w:spacing w:line="360" w:lineRule="auto"/>
        <w:rPr>
          <w:sz w:val="24"/>
          <w:szCs w:val="24"/>
        </w:rPr>
      </w:pPr>
      <w:r>
        <w:rPr>
          <w:sz w:val="24"/>
          <w:szCs w:val="24"/>
        </w:rPr>
        <w:drawing>
          <wp:inline distT="0" distB="0" distL="0" distR="0">
            <wp:extent cx="5808980" cy="2653030"/>
            <wp:effectExtent l="0" t="0" r="127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65"/>
                    <a:stretch>
                      <a:fillRect/>
                    </a:stretch>
                  </pic:blipFill>
                  <pic:spPr>
                    <a:xfrm>
                      <a:off x="0" y="0"/>
                      <a:ext cx="5816511" cy="2656245"/>
                    </a:xfrm>
                    <a:prstGeom prst="rect">
                      <a:avLst/>
                    </a:prstGeom>
                  </pic:spPr>
                </pic:pic>
              </a:graphicData>
            </a:graphic>
          </wp:inline>
        </w:drawing>
      </w:r>
    </w:p>
    <w:p>
      <w:pPr>
        <w:pStyle w:val="6"/>
        <w:spacing w:line="360" w:lineRule="auto"/>
        <w:rPr>
          <w:szCs w:val="24"/>
        </w:rPr>
      </w:pPr>
      <w:r>
        <w:rPr>
          <w:rFonts w:hint="eastAsia"/>
          <w:szCs w:val="24"/>
        </w:rPr>
        <w:t>功能</w:t>
      </w:r>
      <w:r>
        <w:rPr>
          <w:szCs w:val="24"/>
        </w:rPr>
        <w:t>特性</w:t>
      </w:r>
    </w:p>
    <w:p>
      <w:pPr>
        <w:pStyle w:val="129"/>
        <w:widowControl w:val="0"/>
        <w:numPr>
          <w:ilvl w:val="0"/>
          <w:numId w:val="32"/>
        </w:numPr>
        <w:spacing w:before="160" w:after="120" w:line="360" w:lineRule="auto"/>
        <w:ind w:firstLineChars="0"/>
        <w:jc w:val="left"/>
        <w:rPr>
          <w:sz w:val="24"/>
          <w:szCs w:val="24"/>
        </w:rPr>
      </w:pPr>
      <w:r>
        <w:rPr>
          <w:rFonts w:hint="eastAsia"/>
          <w:sz w:val="24"/>
          <w:szCs w:val="24"/>
        </w:rPr>
        <w:t>云主机和云</w:t>
      </w:r>
      <w:r>
        <w:rPr>
          <w:sz w:val="24"/>
          <w:szCs w:val="24"/>
        </w:rPr>
        <w:t>硬盘服务</w:t>
      </w:r>
    </w:p>
    <w:p>
      <w:pPr>
        <w:spacing w:line="360" w:lineRule="auto"/>
        <w:rPr>
          <w:sz w:val="24"/>
          <w:szCs w:val="24"/>
        </w:rPr>
      </w:pPr>
      <w:r>
        <w:rPr>
          <w:sz w:val="24"/>
          <w:szCs w:val="24"/>
        </w:rPr>
        <w:t>云主机是以虚拟机的形式运行的镜像副本。</w:t>
      </w:r>
      <w:r>
        <w:rPr>
          <w:rFonts w:hAnsi="Times New Roman"/>
          <w:sz w:val="24"/>
          <w:szCs w:val="24"/>
        </w:rPr>
        <w:t xml:space="preserve"> </w:t>
      </w:r>
      <w:r>
        <w:rPr>
          <w:sz w:val="24"/>
          <w:szCs w:val="24"/>
        </w:rPr>
        <w:t>基于一个镜像，您可以创建任意数量的主机。在创建主机时，</w:t>
      </w:r>
      <w:r>
        <w:rPr>
          <w:rFonts w:hAnsi="Times New Roman"/>
          <w:sz w:val="24"/>
          <w:szCs w:val="24"/>
        </w:rPr>
        <w:t xml:space="preserve"> </w:t>
      </w:r>
      <w:r>
        <w:rPr>
          <w:sz w:val="24"/>
          <w:szCs w:val="24"/>
        </w:rPr>
        <w:t>您需要指明</w:t>
      </w:r>
      <w:r>
        <w:rPr>
          <w:rFonts w:hAnsi="Times New Roman"/>
          <w:sz w:val="24"/>
          <w:szCs w:val="24"/>
        </w:rPr>
        <w:t xml:space="preserve"> CPU </w:t>
      </w:r>
      <w:r>
        <w:rPr>
          <w:sz w:val="24"/>
          <w:szCs w:val="24"/>
        </w:rPr>
        <w:t>和内存的配置。</w:t>
      </w:r>
      <w:r>
        <w:rPr>
          <w:rFonts w:hAnsi="Times New Roman"/>
          <w:sz w:val="24"/>
          <w:szCs w:val="24"/>
        </w:rPr>
        <w:t xml:space="preserve"> CPU</w:t>
      </w:r>
      <w:r>
        <w:rPr>
          <w:sz w:val="24"/>
          <w:szCs w:val="24"/>
        </w:rPr>
        <w:t>、内存的数量可以选择，也允许在主机创建之后随时再行调整。</w:t>
      </w:r>
    </w:p>
    <w:p>
      <w:pPr>
        <w:pStyle w:val="162"/>
        <w:rPr>
          <w:sz w:val="24"/>
        </w:rPr>
      </w:pPr>
      <w:r>
        <w:rPr>
          <w:rFonts w:hint="eastAsia"/>
          <w:sz w:val="24"/>
        </w:rPr>
        <w:t>云主机功能上支持主流的服务器操作系统，如Windows Server系列和主要Linux发行版，支持在线交付、在线管理、远程登陆、快照管理、在线迁移等功能。云主机根据业务系统的负载量可提供不同的配置模板，如基础型云主机（1个vCPU，2G内存）可部署桌面级应用及基础架构类应用，如Word、浏览器、DNS、MS AD等；标准型云主机（2个vCPU，4G内存）可部署Web Server，文件服务等；大内存型（4个vCPU，8G或12G内存）云主机可部署邮件系统、应用服务器、轻量级数据库应用等；高计算型云主机（8个vCPU，16G内存）可部署高性能数据库、数据仓库等。除了以上标准配置以外，还支持用户根据业务性能要求自定制配置。</w:t>
      </w:r>
    </w:p>
    <w:p>
      <w:pPr>
        <w:pStyle w:val="162"/>
        <w:rPr>
          <w:sz w:val="24"/>
        </w:rPr>
      </w:pPr>
      <w:r>
        <w:rPr>
          <w:rFonts w:hint="eastAsia"/>
          <w:sz w:val="24"/>
        </w:rPr>
        <w:t>云主机通过集群技术保障高可用，当云主机所在的物理服务器故障时，可快速切换到其他状态正常的服务器上。通过动态资源调度技术自动进行负载均衡，云主机可在线自动迁移到其他物理服务器上，期间应用不会产生任何影响。</w:t>
      </w:r>
    </w:p>
    <w:p>
      <w:pPr>
        <w:spacing w:line="360" w:lineRule="auto"/>
        <w:rPr>
          <w:sz w:val="24"/>
          <w:szCs w:val="24"/>
        </w:rPr>
      </w:pPr>
      <w:r>
        <w:rPr>
          <w:rFonts w:hint="eastAsia"/>
          <w:sz w:val="24"/>
          <w:szCs w:val="24"/>
        </w:rPr>
        <w:t>云硬盘为UIS中的云主机提供块存储。创建云主机时为用户配置的系统盘可能不能满足用户的容量需求，需要额外增加云硬盘。</w:t>
      </w:r>
    </w:p>
    <w:p>
      <w:pPr>
        <w:pStyle w:val="129"/>
        <w:widowControl w:val="0"/>
        <w:numPr>
          <w:ilvl w:val="0"/>
          <w:numId w:val="32"/>
        </w:numPr>
        <w:spacing w:before="160" w:after="120" w:line="360" w:lineRule="auto"/>
        <w:ind w:firstLineChars="0"/>
        <w:jc w:val="left"/>
        <w:rPr>
          <w:sz w:val="24"/>
          <w:szCs w:val="24"/>
        </w:rPr>
      </w:pPr>
      <w:r>
        <w:rPr>
          <w:rFonts w:hint="eastAsia"/>
          <w:sz w:val="24"/>
          <w:szCs w:val="24"/>
        </w:rPr>
        <w:t>云</w:t>
      </w:r>
      <w:r>
        <w:rPr>
          <w:sz w:val="24"/>
          <w:szCs w:val="24"/>
        </w:rPr>
        <w:t>镜像</w:t>
      </w:r>
    </w:p>
    <w:p>
      <w:pPr>
        <w:spacing w:line="360" w:lineRule="auto"/>
        <w:rPr>
          <w:sz w:val="24"/>
          <w:szCs w:val="24"/>
        </w:rPr>
      </w:pPr>
      <w:r>
        <w:rPr>
          <w:rFonts w:hint="eastAsia"/>
          <w:sz w:val="24"/>
          <w:szCs w:val="24"/>
        </w:rPr>
        <w:t>镜像是一个包含了软件及必要配置的机器模版。作为基础软件，操作系统是必须的，还可以根据自己的需求将任何应用软件（比如，数据库、中间件等）放入镜像中。镜像分为两类，其一是系统提供的，称之为“系统镜像”， 包括了各种 Linux、Windows 等操作系统， 各系统镜像的初始本地终端用户名和密码均可在各镜像的详情描述中找到。 其二是用户通过捕获一个主机来自行创建的，称之为“私有</w:t>
      </w:r>
      <w:r>
        <w:rPr>
          <w:sz w:val="24"/>
          <w:szCs w:val="24"/>
        </w:rPr>
        <w:t>镜像</w:t>
      </w:r>
      <w:r>
        <w:rPr>
          <w:rFonts w:hint="eastAsia"/>
          <w:sz w:val="24"/>
          <w:szCs w:val="24"/>
        </w:rPr>
        <w:t>”。云</w:t>
      </w:r>
      <w:r>
        <w:rPr>
          <w:sz w:val="24"/>
          <w:szCs w:val="24"/>
        </w:rPr>
        <w:t>镜像服务</w:t>
      </w:r>
      <w:r>
        <w:rPr>
          <w:rFonts w:hint="eastAsia"/>
          <w:sz w:val="24"/>
          <w:szCs w:val="24"/>
        </w:rPr>
        <w:t>为用户提供丰富的镜像仓库，用户能够快速选择镜像并创建主机资源，并满足用户个性化需求。</w:t>
      </w:r>
    </w:p>
    <w:p>
      <w:pPr>
        <w:pStyle w:val="129"/>
        <w:widowControl w:val="0"/>
        <w:numPr>
          <w:ilvl w:val="0"/>
          <w:numId w:val="32"/>
        </w:numPr>
        <w:spacing w:before="160" w:after="120" w:line="360" w:lineRule="auto"/>
        <w:ind w:firstLineChars="0"/>
        <w:jc w:val="left"/>
        <w:rPr>
          <w:sz w:val="24"/>
          <w:szCs w:val="24"/>
        </w:rPr>
      </w:pPr>
      <w:r>
        <w:rPr>
          <w:rFonts w:hint="eastAsia"/>
          <w:sz w:val="24"/>
          <w:szCs w:val="24"/>
        </w:rPr>
        <w:t>安全组</w:t>
      </w:r>
    </w:p>
    <w:p>
      <w:pPr>
        <w:spacing w:line="360" w:lineRule="auto"/>
        <w:rPr>
          <w:sz w:val="24"/>
          <w:szCs w:val="24"/>
        </w:rPr>
      </w:pPr>
      <w:r>
        <w:rPr>
          <w:rFonts w:hint="eastAsia"/>
          <w:sz w:val="24"/>
          <w:szCs w:val="24"/>
        </w:rPr>
        <w:t>安全组</w:t>
      </w:r>
      <w:r>
        <w:rPr>
          <w:sz w:val="24"/>
          <w:szCs w:val="24"/>
        </w:rPr>
        <w:t>(</w:t>
      </w:r>
      <w:r>
        <w:rPr>
          <w:rFonts w:hint="eastAsia"/>
          <w:sz w:val="24"/>
          <w:szCs w:val="24"/>
        </w:rPr>
        <w:t>也称</w:t>
      </w:r>
      <w:r>
        <w:rPr>
          <w:sz w:val="24"/>
          <w:szCs w:val="24"/>
        </w:rPr>
        <w:t xml:space="preserve">Security Group) </w:t>
      </w:r>
      <w:r>
        <w:rPr>
          <w:rFonts w:hint="eastAsia"/>
          <w:sz w:val="24"/>
          <w:szCs w:val="24"/>
        </w:rPr>
        <w:t>是多条白名单安全规则的组合。通过将安全组与</w:t>
      </w:r>
      <w:r>
        <w:rPr>
          <w:sz w:val="24"/>
          <w:szCs w:val="24"/>
        </w:rPr>
        <w:t>VM</w:t>
      </w:r>
      <w:r>
        <w:rPr>
          <w:rFonts w:hint="eastAsia"/>
          <w:sz w:val="24"/>
          <w:szCs w:val="24"/>
        </w:rPr>
        <w:t>虚拟机端口相关联，该安全组内的规则会对进出该虚拟机端口的网络报文进行过滤，只有规则允许的报文才能通过。</w:t>
      </w:r>
    </w:p>
    <w:p>
      <w:pPr>
        <w:pStyle w:val="129"/>
        <w:widowControl w:val="0"/>
        <w:numPr>
          <w:ilvl w:val="0"/>
          <w:numId w:val="32"/>
        </w:numPr>
        <w:spacing w:before="160" w:after="120" w:line="360" w:lineRule="auto"/>
        <w:ind w:firstLineChars="0"/>
        <w:jc w:val="left"/>
        <w:rPr>
          <w:sz w:val="24"/>
          <w:szCs w:val="24"/>
        </w:rPr>
      </w:pPr>
      <w:r>
        <w:rPr>
          <w:rFonts w:hint="eastAsia"/>
          <w:sz w:val="24"/>
          <w:szCs w:val="24"/>
        </w:rPr>
        <w:t>多租户</w:t>
      </w:r>
      <w:r>
        <w:rPr>
          <w:sz w:val="24"/>
          <w:szCs w:val="24"/>
        </w:rPr>
        <w:t>管理</w:t>
      </w:r>
    </w:p>
    <w:p>
      <w:pPr>
        <w:spacing w:line="360" w:lineRule="auto"/>
        <w:rPr>
          <w:sz w:val="24"/>
          <w:szCs w:val="24"/>
        </w:rPr>
      </w:pPr>
      <w:r>
        <w:rPr>
          <w:rFonts w:hint="eastAsia"/>
          <w:sz w:val="24"/>
          <w:szCs w:val="24"/>
        </w:rPr>
        <w:t>多租户</w:t>
      </w:r>
      <w:r>
        <w:rPr>
          <w:sz w:val="24"/>
          <w:szCs w:val="24"/>
        </w:rPr>
        <w:t>特性有效隔离租户资源数据，</w:t>
      </w:r>
      <w:r>
        <w:rPr>
          <w:rFonts w:hint="eastAsia"/>
          <w:sz w:val="24"/>
          <w:szCs w:val="24"/>
        </w:rPr>
        <w:t>将</w:t>
      </w:r>
      <w:r>
        <w:rPr>
          <w:sz w:val="24"/>
          <w:szCs w:val="24"/>
        </w:rPr>
        <w:t>一部分资源的管理功能下</w:t>
      </w:r>
      <w:r>
        <w:rPr>
          <w:rFonts w:hint="eastAsia"/>
          <w:sz w:val="24"/>
          <w:szCs w:val="24"/>
        </w:rPr>
        <w:t>放</w:t>
      </w:r>
      <w:r>
        <w:rPr>
          <w:sz w:val="24"/>
          <w:szCs w:val="24"/>
        </w:rPr>
        <w:t>给各自的租户，由租户的管理员对租户内的资源进行自管理</w:t>
      </w:r>
      <w:r>
        <w:rPr>
          <w:rFonts w:hint="eastAsia"/>
          <w:sz w:val="24"/>
          <w:szCs w:val="24"/>
        </w:rPr>
        <w:t>。几乎所有的云平台需求都涉及用户和组织关系这里牵涉到适应不同版块租户不同的定制需求。UIS</w:t>
      </w:r>
      <w:r>
        <w:rPr>
          <w:sz w:val="24"/>
          <w:szCs w:val="24"/>
        </w:rPr>
        <w:t xml:space="preserve"> Manager</w:t>
      </w:r>
      <w:r>
        <w:rPr>
          <w:rFonts w:hint="eastAsia"/>
          <w:sz w:val="24"/>
          <w:szCs w:val="24"/>
        </w:rPr>
        <w:t>支持定制多级组织嵌套，每级组织都会划分自己的资源（CPU、内存、存储、网络等）和用户。</w:t>
      </w:r>
    </w:p>
    <w:p>
      <w:pPr>
        <w:spacing w:line="360" w:lineRule="auto"/>
        <w:rPr>
          <w:sz w:val="24"/>
          <w:szCs w:val="24"/>
        </w:rPr>
      </w:pPr>
      <w:r>
        <w:rPr>
          <w:rFonts w:hint="eastAsia"/>
          <w:sz w:val="24"/>
          <w:szCs w:val="24"/>
        </w:rPr>
        <w:t xml:space="preserve"> 提供了多种用户的角色，功能视角也不同。例如</w:t>
      </w:r>
      <w:r>
        <w:rPr>
          <w:sz w:val="24"/>
          <w:szCs w:val="24"/>
        </w:rPr>
        <w:t>，</w:t>
      </w:r>
      <w:r>
        <w:rPr>
          <w:rFonts w:hint="eastAsia"/>
          <w:sz w:val="24"/>
          <w:szCs w:val="24"/>
        </w:rPr>
        <w:t>运维管理人员专注于对池化资源的部署分发、服务编排、应用监控，定制流程和计费模板。领导或者IT主管作为私有云的管理员，关注云容量的规划、服务的质量评价、计费营账报表以及绩效考核等，对于终端用户，更关心vDC（虚拟数据中心）服务的申请、流程审批、工单问答以及实时账单等。</w:t>
      </w:r>
    </w:p>
    <w:p>
      <w:pPr>
        <w:spacing w:line="360" w:lineRule="auto"/>
        <w:rPr>
          <w:sz w:val="24"/>
          <w:szCs w:val="24"/>
        </w:rPr>
      </w:pPr>
      <w:r>
        <w:rPr>
          <w:rFonts w:hint="eastAsia"/>
          <w:sz w:val="24"/>
          <w:szCs w:val="24"/>
        </w:rPr>
        <w:t>用户通过网络进行二层隔离，每个网络都设定了V(x)LAN标识和IP地址池规划。用户可以使用多个网络以支持不同场景的业务和隔离需求。</w:t>
      </w:r>
    </w:p>
    <w:p>
      <w:pPr>
        <w:spacing w:line="360" w:lineRule="auto"/>
        <w:rPr>
          <w:sz w:val="24"/>
          <w:szCs w:val="24"/>
        </w:rPr>
      </w:pPr>
      <w:r>
        <w:rPr>
          <w:sz w:val="24"/>
          <w:szCs w:val="24"/>
        </w:rPr>
        <w:drawing>
          <wp:inline distT="0" distB="0" distL="0" distR="0">
            <wp:extent cx="5721350" cy="3176270"/>
            <wp:effectExtent l="0" t="0" r="0" b="508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66"/>
                    <a:stretch>
                      <a:fillRect/>
                    </a:stretch>
                  </pic:blipFill>
                  <pic:spPr>
                    <a:xfrm>
                      <a:off x="0" y="0"/>
                      <a:ext cx="5725239" cy="3178500"/>
                    </a:xfrm>
                    <a:prstGeom prst="rect">
                      <a:avLst/>
                    </a:prstGeom>
                  </pic:spPr>
                </pic:pic>
              </a:graphicData>
            </a:graphic>
          </wp:inline>
        </w:drawing>
      </w:r>
    </w:p>
    <w:p>
      <w:pPr>
        <w:pStyle w:val="129"/>
        <w:widowControl w:val="0"/>
        <w:numPr>
          <w:ilvl w:val="0"/>
          <w:numId w:val="32"/>
        </w:numPr>
        <w:spacing w:before="160" w:after="120" w:line="360" w:lineRule="auto"/>
        <w:ind w:firstLineChars="0"/>
        <w:jc w:val="left"/>
        <w:rPr>
          <w:sz w:val="24"/>
          <w:szCs w:val="24"/>
        </w:rPr>
      </w:pPr>
      <w:r>
        <w:rPr>
          <w:rFonts w:hint="eastAsia"/>
          <w:sz w:val="24"/>
          <w:szCs w:val="24"/>
        </w:rPr>
        <w:t>资源池</w:t>
      </w:r>
      <w:r>
        <w:rPr>
          <w:sz w:val="24"/>
          <w:szCs w:val="24"/>
        </w:rPr>
        <w:t>流程审批</w:t>
      </w:r>
    </w:p>
    <w:p>
      <w:pPr>
        <w:spacing w:line="360" w:lineRule="auto"/>
        <w:rPr>
          <w:rFonts w:ascii="宋体" w:hAnsi="宋体"/>
          <w:sz w:val="24"/>
          <w:szCs w:val="24"/>
        </w:rPr>
      </w:pPr>
      <w:r>
        <w:rPr>
          <w:rFonts w:hint="eastAsia"/>
          <w:sz w:val="24"/>
          <w:szCs w:val="24"/>
        </w:rPr>
        <w:t>资源</w:t>
      </w:r>
      <w:r>
        <w:rPr>
          <w:sz w:val="24"/>
          <w:szCs w:val="24"/>
        </w:rPr>
        <w:t>审批</w:t>
      </w:r>
      <w:r>
        <w:rPr>
          <w:rFonts w:hint="eastAsia"/>
          <w:sz w:val="24"/>
          <w:szCs w:val="24"/>
        </w:rPr>
        <w:t>是云平台</w:t>
      </w:r>
      <w:r>
        <w:rPr>
          <w:sz w:val="24"/>
          <w:szCs w:val="24"/>
        </w:rPr>
        <w:t>中</w:t>
      </w:r>
      <w:r>
        <w:rPr>
          <w:rFonts w:hint="eastAsia"/>
          <w:sz w:val="24"/>
          <w:szCs w:val="24"/>
        </w:rPr>
        <w:t>最常见的流程，同时也是个性化最强的业务，需要让U</w:t>
      </w:r>
      <w:r>
        <w:rPr>
          <w:sz w:val="24"/>
          <w:szCs w:val="24"/>
        </w:rPr>
        <w:t>IS Manager</w:t>
      </w:r>
      <w:r>
        <w:rPr>
          <w:rFonts w:hint="eastAsia"/>
          <w:sz w:val="24"/>
          <w:szCs w:val="24"/>
        </w:rPr>
        <w:t>服务申请的审批能适应不同部门的需要。智能SOM服务流程管理工具将审批定义为包含多个有序任务的流。可以定制不同的流程模板，模板支持多级审批，可以定制个性化的审批页面，最大程度满足用户的定制化需求。用户可以将模板与对应的审批流程绑定，不同的审批可以绑定不同的定制流程。支持与邮件系统对接，通过邮件方式给与组织管理和云管理进行云服务目录申请。</w:t>
      </w:r>
    </w:p>
    <w:p>
      <w:pPr>
        <w:spacing w:line="360" w:lineRule="auto"/>
        <w:rPr>
          <w:sz w:val="24"/>
          <w:szCs w:val="24"/>
        </w:rPr>
      </w:pPr>
      <w:r>
        <w:rPr>
          <w:sz w:val="24"/>
          <w:szCs w:val="24"/>
        </w:rPr>
        <w:drawing>
          <wp:inline distT="0" distB="0" distL="0" distR="0">
            <wp:extent cx="5579110" cy="2396490"/>
            <wp:effectExtent l="0" t="0" r="2540" b="381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67"/>
                    <a:stretch>
                      <a:fillRect/>
                    </a:stretch>
                  </pic:blipFill>
                  <pic:spPr>
                    <a:xfrm>
                      <a:off x="0" y="0"/>
                      <a:ext cx="5596845" cy="2404455"/>
                    </a:xfrm>
                    <a:prstGeom prst="rect">
                      <a:avLst/>
                    </a:prstGeom>
                  </pic:spPr>
                </pic:pic>
              </a:graphicData>
            </a:graphic>
          </wp:inline>
        </w:drawing>
      </w:r>
    </w:p>
    <w:p>
      <w:pPr>
        <w:spacing w:line="360" w:lineRule="auto"/>
        <w:rPr>
          <w:sz w:val="24"/>
          <w:szCs w:val="24"/>
        </w:rPr>
      </w:pPr>
      <w:r>
        <w:rPr>
          <w:rFonts w:hint="eastAsia"/>
          <w:sz w:val="24"/>
          <w:szCs w:val="24"/>
        </w:rPr>
        <w:t xml:space="preserve">                </w:t>
      </w:r>
      <w:r>
        <w:rPr>
          <w:sz w:val="24"/>
          <w:szCs w:val="24"/>
        </w:rPr>
        <w:t xml:space="preserve">                      </w:t>
      </w:r>
      <w:r>
        <w:rPr>
          <w:rFonts w:hint="eastAsia"/>
          <w:sz w:val="24"/>
          <w:szCs w:val="24"/>
        </w:rPr>
        <w:t>资源</w:t>
      </w:r>
      <w:r>
        <w:rPr>
          <w:sz w:val="24"/>
          <w:szCs w:val="24"/>
        </w:rPr>
        <w:t>流程审批</w:t>
      </w:r>
    </w:p>
    <w:p>
      <w:pPr>
        <w:pStyle w:val="129"/>
        <w:widowControl w:val="0"/>
        <w:numPr>
          <w:ilvl w:val="0"/>
          <w:numId w:val="32"/>
        </w:numPr>
        <w:spacing w:before="160" w:after="120" w:line="360" w:lineRule="auto"/>
        <w:ind w:firstLineChars="0"/>
        <w:jc w:val="left"/>
        <w:rPr>
          <w:sz w:val="24"/>
          <w:szCs w:val="24"/>
        </w:rPr>
      </w:pPr>
      <w:r>
        <w:rPr>
          <w:rFonts w:hint="eastAsia"/>
          <w:sz w:val="24"/>
          <w:szCs w:val="24"/>
        </w:rPr>
        <w:t>云</w:t>
      </w:r>
      <w:r>
        <w:rPr>
          <w:sz w:val="24"/>
          <w:szCs w:val="24"/>
        </w:rPr>
        <w:t>点</w:t>
      </w:r>
    </w:p>
    <w:p>
      <w:pPr>
        <w:spacing w:line="360" w:lineRule="auto"/>
        <w:rPr>
          <w:sz w:val="24"/>
          <w:szCs w:val="24"/>
        </w:rPr>
      </w:pPr>
      <w:r>
        <w:rPr>
          <w:rFonts w:hint="eastAsia"/>
          <w:sz w:val="24"/>
          <w:szCs w:val="24"/>
        </w:rPr>
        <w:t>对于</w:t>
      </w:r>
      <w:r>
        <w:rPr>
          <w:sz w:val="24"/>
          <w:szCs w:val="24"/>
        </w:rPr>
        <w:t>总部-分支机构</w:t>
      </w:r>
      <w:r>
        <w:rPr>
          <w:rFonts w:hint="eastAsia"/>
          <w:sz w:val="24"/>
          <w:szCs w:val="24"/>
        </w:rPr>
        <w:t>场景，</w:t>
      </w:r>
      <w:r>
        <w:rPr>
          <w:sz w:val="24"/>
          <w:szCs w:val="24"/>
        </w:rPr>
        <w:t>如</w:t>
      </w:r>
      <w:r>
        <w:rPr>
          <w:rFonts w:hint="eastAsia"/>
          <w:sz w:val="24"/>
          <w:szCs w:val="24"/>
        </w:rPr>
        <w:t>上下级</w:t>
      </w:r>
      <w:r>
        <w:rPr>
          <w:sz w:val="24"/>
          <w:szCs w:val="24"/>
        </w:rPr>
        <w:t>政府、连锁企业等，如何</w:t>
      </w:r>
      <w:r>
        <w:rPr>
          <w:rFonts w:hint="eastAsia"/>
          <w:sz w:val="24"/>
          <w:szCs w:val="24"/>
        </w:rPr>
        <w:t>对</w:t>
      </w:r>
      <w:r>
        <w:rPr>
          <w:sz w:val="24"/>
          <w:szCs w:val="24"/>
        </w:rPr>
        <w:t>所有的</w:t>
      </w:r>
      <w:r>
        <w:rPr>
          <w:rFonts w:hint="eastAsia"/>
          <w:sz w:val="24"/>
          <w:szCs w:val="24"/>
        </w:rPr>
        <w:t>分支</w:t>
      </w:r>
      <w:r>
        <w:rPr>
          <w:sz w:val="24"/>
          <w:szCs w:val="24"/>
        </w:rPr>
        <w:t>机构的设备做统一管理</w:t>
      </w:r>
      <w:r>
        <w:rPr>
          <w:rFonts w:hint="eastAsia"/>
          <w:sz w:val="24"/>
          <w:szCs w:val="24"/>
        </w:rPr>
        <w:t>呢</w:t>
      </w:r>
      <w:r>
        <w:rPr>
          <w:sz w:val="24"/>
          <w:szCs w:val="24"/>
        </w:rPr>
        <w:t>？</w:t>
      </w:r>
      <w:r>
        <w:rPr>
          <w:rFonts w:hint="eastAsia"/>
          <w:sz w:val="24"/>
          <w:szCs w:val="24"/>
        </w:rPr>
        <w:t xml:space="preserve"> UIS提供</w:t>
      </w:r>
      <w:r>
        <w:rPr>
          <w:sz w:val="24"/>
          <w:szCs w:val="24"/>
        </w:rPr>
        <w:t>云点功能，</w:t>
      </w:r>
      <w:r>
        <w:rPr>
          <w:rFonts w:hint="eastAsia"/>
          <w:sz w:val="24"/>
          <w:szCs w:val="24"/>
        </w:rPr>
        <w:t>实现</w:t>
      </w:r>
      <w:r>
        <w:rPr>
          <w:sz w:val="24"/>
          <w:szCs w:val="24"/>
        </w:rPr>
        <w:t>分级分权限</w:t>
      </w:r>
      <w:r>
        <w:rPr>
          <w:rFonts w:hint="eastAsia"/>
          <w:sz w:val="24"/>
          <w:szCs w:val="24"/>
        </w:rPr>
        <w:t>管理，</w:t>
      </w:r>
      <w:r>
        <w:rPr>
          <w:sz w:val="24"/>
          <w:szCs w:val="24"/>
        </w:rPr>
        <w:t>支持两级管理平台。</w:t>
      </w:r>
      <w:r>
        <w:rPr>
          <w:rFonts w:hint="eastAsia"/>
          <w:sz w:val="24"/>
          <w:szCs w:val="24"/>
        </w:rPr>
        <w:t>同时</w:t>
      </w:r>
      <w:r>
        <w:rPr>
          <w:sz w:val="24"/>
          <w:szCs w:val="24"/>
        </w:rPr>
        <w:t>，</w:t>
      </w:r>
      <w:r>
        <w:rPr>
          <w:rFonts w:hint="eastAsia"/>
          <w:sz w:val="24"/>
          <w:szCs w:val="24"/>
        </w:rPr>
        <w:t>UIS可以</w:t>
      </w:r>
      <w:r>
        <w:rPr>
          <w:sz w:val="24"/>
          <w:szCs w:val="24"/>
        </w:rPr>
        <w:t>实现和公有云</w:t>
      </w:r>
      <w:r>
        <w:rPr>
          <w:rFonts w:hint="eastAsia"/>
          <w:sz w:val="24"/>
          <w:szCs w:val="24"/>
        </w:rPr>
        <w:t>的</w:t>
      </w:r>
      <w:r>
        <w:rPr>
          <w:sz w:val="24"/>
          <w:szCs w:val="24"/>
        </w:rPr>
        <w:t>打通，</w:t>
      </w:r>
      <w:r>
        <w:rPr>
          <w:rFonts w:hint="eastAsia"/>
          <w:sz w:val="24"/>
          <w:szCs w:val="24"/>
        </w:rPr>
        <w:t>形成</w:t>
      </w:r>
      <w:r>
        <w:rPr>
          <w:sz w:val="24"/>
          <w:szCs w:val="24"/>
        </w:rPr>
        <w:t>混合云</w:t>
      </w:r>
      <w:r>
        <w:rPr>
          <w:rFonts w:hint="eastAsia"/>
          <w:sz w:val="24"/>
          <w:szCs w:val="24"/>
        </w:rPr>
        <w:t>解决</w:t>
      </w:r>
      <w:r>
        <w:rPr>
          <w:sz w:val="24"/>
          <w:szCs w:val="24"/>
        </w:rPr>
        <w:t>方案，业务可以在分支</w:t>
      </w:r>
      <w:r>
        <w:rPr>
          <w:rFonts w:hint="eastAsia"/>
          <w:sz w:val="24"/>
          <w:szCs w:val="24"/>
        </w:rPr>
        <w:t xml:space="preserve"> 、</w:t>
      </w:r>
      <w:r>
        <w:rPr>
          <w:sz w:val="24"/>
          <w:szCs w:val="24"/>
        </w:rPr>
        <w:t>私有</w:t>
      </w:r>
      <w:r>
        <w:rPr>
          <w:rFonts w:hint="eastAsia"/>
          <w:sz w:val="24"/>
          <w:szCs w:val="24"/>
        </w:rPr>
        <w:t>云</w:t>
      </w:r>
      <w:r>
        <w:rPr>
          <w:sz w:val="24"/>
          <w:szCs w:val="24"/>
        </w:rPr>
        <w:t>、公有云之间</w:t>
      </w:r>
      <w:r>
        <w:rPr>
          <w:rFonts w:hint="eastAsia"/>
          <w:sz w:val="24"/>
          <w:szCs w:val="24"/>
        </w:rPr>
        <w:t>灵活</w:t>
      </w:r>
      <w:r>
        <w:rPr>
          <w:sz w:val="24"/>
          <w:szCs w:val="24"/>
        </w:rPr>
        <w:t>迁移、</w:t>
      </w:r>
      <w:r>
        <w:rPr>
          <w:rFonts w:hint="eastAsia"/>
          <w:sz w:val="24"/>
          <w:szCs w:val="24"/>
        </w:rPr>
        <w:t>相互</w:t>
      </w:r>
      <w:r>
        <w:rPr>
          <w:sz w:val="24"/>
          <w:szCs w:val="24"/>
        </w:rPr>
        <w:t>备份。</w:t>
      </w:r>
    </w:p>
    <w:p>
      <w:pPr>
        <w:spacing w:line="360" w:lineRule="auto"/>
        <w:rPr>
          <w:sz w:val="24"/>
          <w:szCs w:val="24"/>
        </w:rPr>
      </w:pPr>
      <w:r>
        <w:rPr>
          <w:sz w:val="24"/>
          <w:szCs w:val="24"/>
        </w:rPr>
        <w:drawing>
          <wp:inline distT="0" distB="0" distL="0" distR="0">
            <wp:extent cx="5113655" cy="287782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68"/>
                    <a:stretch>
                      <a:fillRect/>
                    </a:stretch>
                  </pic:blipFill>
                  <pic:spPr>
                    <a:xfrm>
                      <a:off x="0" y="0"/>
                      <a:ext cx="5119070" cy="2880862"/>
                    </a:xfrm>
                    <a:prstGeom prst="rect">
                      <a:avLst/>
                    </a:prstGeom>
                  </pic:spPr>
                </pic:pic>
              </a:graphicData>
            </a:graphic>
          </wp:inline>
        </w:drawing>
      </w:r>
    </w:p>
    <w:p>
      <w:pPr>
        <w:spacing w:line="360" w:lineRule="auto"/>
        <w:ind w:left="0"/>
        <w:rPr>
          <w:rFonts w:hint="eastAsia"/>
          <w:sz w:val="24"/>
          <w:szCs w:val="24"/>
        </w:rPr>
      </w:pPr>
    </w:p>
    <w:p>
      <w:pPr>
        <w:pStyle w:val="4"/>
        <w:rPr>
          <w:sz w:val="24"/>
          <w:szCs w:val="24"/>
        </w:rPr>
      </w:pPr>
      <w:bookmarkStart w:id="77" w:name="_Toc54343105"/>
      <w:r>
        <w:rPr>
          <w:rFonts w:hint="eastAsia"/>
          <w:sz w:val="24"/>
          <w:szCs w:val="24"/>
        </w:rPr>
        <w:t>超融合数据中心实施方案</w:t>
      </w:r>
      <w:bookmarkEnd w:id="77"/>
    </w:p>
    <w:p>
      <w:pPr>
        <w:pStyle w:val="5"/>
        <w:rPr>
          <w:sz w:val="24"/>
          <w:szCs w:val="24"/>
        </w:rPr>
      </w:pPr>
      <w:bookmarkStart w:id="78" w:name="_Toc54343106"/>
      <w:r>
        <w:rPr>
          <w:rFonts w:hint="eastAsia"/>
          <w:sz w:val="24"/>
          <w:szCs w:val="24"/>
        </w:rPr>
        <w:t>业务虚拟机</w:t>
      </w:r>
      <w:r>
        <w:rPr>
          <w:sz w:val="24"/>
          <w:szCs w:val="24"/>
        </w:rPr>
        <w:t>的规格拟定</w:t>
      </w:r>
      <w:bookmarkEnd w:id="78"/>
    </w:p>
    <w:p>
      <w:pPr>
        <w:ind w:left="0" w:firstLine="420"/>
        <w:rPr>
          <w:sz w:val="24"/>
          <w:szCs w:val="24"/>
        </w:rPr>
      </w:pPr>
      <w:r>
        <w:rPr>
          <w:rFonts w:hint="eastAsia"/>
          <w:sz w:val="24"/>
          <w:szCs w:val="24"/>
        </w:rPr>
        <w:t>根据</w:t>
      </w:r>
      <w:r>
        <w:rPr>
          <w:sz w:val="24"/>
          <w:szCs w:val="24"/>
        </w:rPr>
        <w:t>需求分析，确认虚机的种类、数量、配置</w:t>
      </w:r>
      <w:r>
        <w:rPr>
          <w:rFonts w:hint="eastAsia"/>
          <w:sz w:val="24"/>
          <w:szCs w:val="24"/>
        </w:rPr>
        <w:t>。确认各</w:t>
      </w:r>
      <w:r>
        <w:rPr>
          <w:sz w:val="24"/>
          <w:szCs w:val="24"/>
        </w:rPr>
        <w:t>类型虚机的</w:t>
      </w:r>
      <w:r>
        <w:rPr>
          <w:rFonts w:hint="eastAsia"/>
          <w:sz w:val="24"/>
          <w:szCs w:val="24"/>
        </w:rPr>
        <w:t>CPU、</w:t>
      </w:r>
      <w:r>
        <w:rPr>
          <w:sz w:val="24"/>
          <w:szCs w:val="24"/>
        </w:rPr>
        <w:t>内存、</w:t>
      </w:r>
      <w:r>
        <w:rPr>
          <w:rFonts w:hint="eastAsia"/>
          <w:sz w:val="24"/>
          <w:szCs w:val="24"/>
        </w:rPr>
        <w:t>硬盘</w:t>
      </w:r>
      <w:r>
        <w:rPr>
          <w:sz w:val="24"/>
          <w:szCs w:val="24"/>
        </w:rPr>
        <w:t>容量</w:t>
      </w:r>
      <w:r>
        <w:rPr>
          <w:rFonts w:hint="eastAsia"/>
          <w:sz w:val="24"/>
          <w:szCs w:val="24"/>
        </w:rPr>
        <w:t>。</w:t>
      </w:r>
    </w:p>
    <w:p>
      <w:pPr>
        <w:pStyle w:val="46"/>
        <w:jc w:val="center"/>
        <w:rPr>
          <w:sz w:val="24"/>
          <w:szCs w:val="24"/>
        </w:rPr>
      </w:pPr>
      <w:r>
        <w:rPr>
          <w:rFonts w:hint="eastAsia"/>
          <w:sz w:val="24"/>
          <w:szCs w:val="24"/>
        </w:rPr>
        <w:t>业务虚拟机的规格</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5"/>
        <w:gridCol w:w="1320"/>
        <w:gridCol w:w="1320"/>
        <w:gridCol w:w="1320"/>
        <w:gridCol w:w="2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5" w:type="dxa"/>
          </w:tcPr>
          <w:p>
            <w:pPr>
              <w:pStyle w:val="129"/>
              <w:ind w:left="0" w:firstLine="0" w:firstLineChars="0"/>
              <w:rPr>
                <w:rFonts w:asciiTheme="minorEastAsia" w:hAnsiTheme="minorEastAsia" w:eastAsiaTheme="minorEastAsia"/>
                <w:b/>
                <w:sz w:val="24"/>
                <w:szCs w:val="24"/>
              </w:rPr>
            </w:pPr>
            <w:r>
              <w:rPr>
                <w:rFonts w:hint="eastAsia" w:asciiTheme="minorEastAsia" w:hAnsiTheme="minorEastAsia" w:eastAsiaTheme="minorEastAsia"/>
                <w:b/>
                <w:sz w:val="24"/>
                <w:szCs w:val="24"/>
              </w:rPr>
              <w:t>虚拟机</w:t>
            </w:r>
            <w:r>
              <w:rPr>
                <w:rFonts w:asciiTheme="minorEastAsia" w:hAnsiTheme="minorEastAsia" w:eastAsiaTheme="minorEastAsia"/>
                <w:b/>
                <w:sz w:val="24"/>
                <w:szCs w:val="24"/>
              </w:rPr>
              <w:t>类型</w:t>
            </w:r>
          </w:p>
        </w:tc>
        <w:tc>
          <w:tcPr>
            <w:tcW w:w="1260" w:type="dxa"/>
          </w:tcPr>
          <w:p>
            <w:pPr>
              <w:pStyle w:val="129"/>
              <w:ind w:left="0" w:firstLine="0" w:firstLineChars="0"/>
              <w:rPr>
                <w:rFonts w:asciiTheme="minorEastAsia" w:hAnsiTheme="minorEastAsia" w:eastAsiaTheme="minorEastAsia"/>
                <w:b/>
                <w:sz w:val="24"/>
                <w:szCs w:val="24"/>
              </w:rPr>
            </w:pPr>
            <w:r>
              <w:rPr>
                <w:rFonts w:hint="eastAsia" w:asciiTheme="minorEastAsia" w:hAnsiTheme="minorEastAsia" w:eastAsiaTheme="minorEastAsia"/>
                <w:b/>
                <w:sz w:val="24"/>
                <w:szCs w:val="24"/>
              </w:rPr>
              <w:t>CPU</w:t>
            </w:r>
          </w:p>
        </w:tc>
        <w:tc>
          <w:tcPr>
            <w:tcW w:w="1260" w:type="dxa"/>
          </w:tcPr>
          <w:p>
            <w:pPr>
              <w:pStyle w:val="129"/>
              <w:ind w:left="0" w:firstLine="0" w:firstLineChars="0"/>
              <w:rPr>
                <w:rFonts w:asciiTheme="minorEastAsia" w:hAnsiTheme="minorEastAsia" w:eastAsiaTheme="minorEastAsia"/>
                <w:b/>
                <w:sz w:val="24"/>
                <w:szCs w:val="24"/>
              </w:rPr>
            </w:pPr>
            <w:r>
              <w:rPr>
                <w:rFonts w:hint="eastAsia" w:asciiTheme="minorEastAsia" w:hAnsiTheme="minorEastAsia" w:eastAsiaTheme="minorEastAsia"/>
                <w:b/>
                <w:sz w:val="24"/>
                <w:szCs w:val="24"/>
              </w:rPr>
              <w:t>内存</w:t>
            </w:r>
          </w:p>
        </w:tc>
        <w:tc>
          <w:tcPr>
            <w:tcW w:w="1273" w:type="dxa"/>
          </w:tcPr>
          <w:p>
            <w:pPr>
              <w:pStyle w:val="129"/>
              <w:ind w:left="0" w:firstLine="0" w:firstLineChars="0"/>
              <w:rPr>
                <w:rFonts w:asciiTheme="minorEastAsia" w:hAnsiTheme="minorEastAsia" w:eastAsiaTheme="minorEastAsia"/>
                <w:b/>
                <w:sz w:val="24"/>
                <w:szCs w:val="24"/>
              </w:rPr>
            </w:pPr>
            <w:r>
              <w:rPr>
                <w:rFonts w:hint="eastAsia" w:asciiTheme="minorEastAsia" w:hAnsiTheme="minorEastAsia" w:eastAsiaTheme="minorEastAsia"/>
                <w:b/>
                <w:sz w:val="24"/>
                <w:szCs w:val="24"/>
              </w:rPr>
              <w:t>硬盘</w:t>
            </w:r>
            <w:r>
              <w:rPr>
                <w:rFonts w:asciiTheme="minorEastAsia" w:hAnsiTheme="minorEastAsia" w:eastAsiaTheme="minorEastAsia"/>
                <w:b/>
                <w:sz w:val="24"/>
                <w:szCs w:val="24"/>
              </w:rPr>
              <w:t>容量</w:t>
            </w:r>
          </w:p>
        </w:tc>
        <w:tc>
          <w:tcPr>
            <w:tcW w:w="2969" w:type="dxa"/>
          </w:tcPr>
          <w:p>
            <w:pPr>
              <w:pStyle w:val="129"/>
              <w:ind w:left="0" w:firstLine="0" w:firstLineChars="0"/>
              <w:rPr>
                <w:rFonts w:asciiTheme="minorEastAsia" w:hAnsiTheme="minorEastAsia" w:eastAsiaTheme="minorEastAsia"/>
                <w:b/>
                <w:sz w:val="24"/>
                <w:szCs w:val="24"/>
              </w:rPr>
            </w:pPr>
            <w:r>
              <w:rPr>
                <w:rFonts w:hint="eastAsia" w:asciiTheme="minorEastAsia" w:hAnsiTheme="minorEastAsia" w:eastAsiaTheme="minorEastAsia"/>
                <w:b/>
                <w:sz w:val="24"/>
                <w:szCs w:val="24"/>
              </w:rPr>
              <w:t>虚机</w:t>
            </w:r>
            <w:r>
              <w:rPr>
                <w:rFonts w:asciiTheme="minorEastAsia" w:hAnsiTheme="minorEastAsia" w:eastAsiaTheme="minorEastAsia"/>
                <w:b/>
                <w:sz w:val="24"/>
                <w:szCs w:val="24"/>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5" w:type="dxa"/>
          </w:tcPr>
          <w:p>
            <w:pPr>
              <w:pStyle w:val="129"/>
              <w:ind w:left="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高性能</w:t>
            </w:r>
            <w:r>
              <w:rPr>
                <w:rFonts w:asciiTheme="minorEastAsia" w:hAnsiTheme="minorEastAsia" w:eastAsiaTheme="minorEastAsia"/>
                <w:sz w:val="24"/>
                <w:szCs w:val="24"/>
              </w:rPr>
              <w:t>A</w:t>
            </w:r>
            <w:r>
              <w:rPr>
                <w:rFonts w:hint="eastAsia" w:asciiTheme="minorEastAsia" w:hAnsiTheme="minorEastAsia" w:eastAsiaTheme="minorEastAsia"/>
                <w:sz w:val="24"/>
                <w:szCs w:val="24"/>
              </w:rPr>
              <w:t>型</w:t>
            </w:r>
          </w:p>
        </w:tc>
        <w:tc>
          <w:tcPr>
            <w:tcW w:w="1260" w:type="dxa"/>
          </w:tcPr>
          <w:p>
            <w:pPr>
              <w:pStyle w:val="129"/>
              <w:ind w:left="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8</w:t>
            </w:r>
          </w:p>
        </w:tc>
        <w:tc>
          <w:tcPr>
            <w:tcW w:w="1260" w:type="dxa"/>
          </w:tcPr>
          <w:p>
            <w:pPr>
              <w:pStyle w:val="129"/>
              <w:ind w:left="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16</w:t>
            </w:r>
          </w:p>
        </w:tc>
        <w:tc>
          <w:tcPr>
            <w:tcW w:w="1273" w:type="dxa"/>
          </w:tcPr>
          <w:p>
            <w:pPr>
              <w:pStyle w:val="129"/>
              <w:ind w:left="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500</w:t>
            </w:r>
            <w:r>
              <w:rPr>
                <w:rFonts w:asciiTheme="minorEastAsia" w:hAnsiTheme="minorEastAsia" w:eastAsiaTheme="minorEastAsia"/>
                <w:sz w:val="24"/>
                <w:szCs w:val="24"/>
              </w:rPr>
              <w:t>*2</w:t>
            </w:r>
          </w:p>
        </w:tc>
        <w:tc>
          <w:tcPr>
            <w:tcW w:w="2969" w:type="dxa"/>
          </w:tcPr>
          <w:p>
            <w:pPr>
              <w:pStyle w:val="129"/>
              <w:ind w:left="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10</w:t>
            </w:r>
            <w:r>
              <w:rPr>
                <w:rFonts w:asciiTheme="minorEastAsia" w:hAnsiTheme="minorEastAsia" w:eastAsiaTheme="minorEastAsia"/>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5" w:type="dxa"/>
          </w:tcPr>
          <w:p>
            <w:pPr>
              <w:pStyle w:val="129"/>
              <w:ind w:left="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高性能</w:t>
            </w:r>
            <w:r>
              <w:rPr>
                <w:rFonts w:asciiTheme="minorEastAsia" w:hAnsiTheme="minorEastAsia" w:eastAsiaTheme="minorEastAsia"/>
                <w:sz w:val="24"/>
                <w:szCs w:val="24"/>
              </w:rPr>
              <w:t>B</w:t>
            </w:r>
            <w:r>
              <w:rPr>
                <w:rFonts w:hint="eastAsia" w:asciiTheme="minorEastAsia" w:hAnsiTheme="minorEastAsia" w:eastAsiaTheme="minorEastAsia"/>
                <w:sz w:val="24"/>
                <w:szCs w:val="24"/>
              </w:rPr>
              <w:t>型</w:t>
            </w:r>
          </w:p>
        </w:tc>
        <w:tc>
          <w:tcPr>
            <w:tcW w:w="1260" w:type="dxa"/>
          </w:tcPr>
          <w:p>
            <w:pPr>
              <w:pStyle w:val="129"/>
              <w:ind w:left="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8</w:t>
            </w:r>
          </w:p>
        </w:tc>
        <w:tc>
          <w:tcPr>
            <w:tcW w:w="1260" w:type="dxa"/>
          </w:tcPr>
          <w:p>
            <w:pPr>
              <w:pStyle w:val="129"/>
              <w:ind w:left="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8</w:t>
            </w:r>
          </w:p>
        </w:tc>
        <w:tc>
          <w:tcPr>
            <w:tcW w:w="1273" w:type="dxa"/>
          </w:tcPr>
          <w:p>
            <w:pPr>
              <w:pStyle w:val="129"/>
              <w:ind w:left="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500</w:t>
            </w:r>
          </w:p>
        </w:tc>
        <w:tc>
          <w:tcPr>
            <w:tcW w:w="2969" w:type="dxa"/>
          </w:tcPr>
          <w:p>
            <w:pPr>
              <w:pStyle w:val="129"/>
              <w:ind w:left="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5" w:type="dxa"/>
          </w:tcPr>
          <w:p>
            <w:pPr>
              <w:pStyle w:val="129"/>
              <w:ind w:left="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常规A型</w:t>
            </w:r>
          </w:p>
        </w:tc>
        <w:tc>
          <w:tcPr>
            <w:tcW w:w="1260" w:type="dxa"/>
          </w:tcPr>
          <w:p>
            <w:pPr>
              <w:pStyle w:val="129"/>
              <w:ind w:left="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2</w:t>
            </w:r>
          </w:p>
        </w:tc>
        <w:tc>
          <w:tcPr>
            <w:tcW w:w="1260" w:type="dxa"/>
          </w:tcPr>
          <w:p>
            <w:pPr>
              <w:pStyle w:val="129"/>
              <w:ind w:left="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8</w:t>
            </w:r>
          </w:p>
        </w:tc>
        <w:tc>
          <w:tcPr>
            <w:tcW w:w="1273" w:type="dxa"/>
          </w:tcPr>
          <w:p>
            <w:pPr>
              <w:pStyle w:val="129"/>
              <w:ind w:left="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500</w:t>
            </w:r>
          </w:p>
        </w:tc>
        <w:tc>
          <w:tcPr>
            <w:tcW w:w="2969" w:type="dxa"/>
          </w:tcPr>
          <w:p>
            <w:pPr>
              <w:pStyle w:val="129"/>
              <w:ind w:left="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5" w:type="dxa"/>
          </w:tcPr>
          <w:p>
            <w:pPr>
              <w:pStyle w:val="129"/>
              <w:ind w:left="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高容量A型</w:t>
            </w:r>
          </w:p>
        </w:tc>
        <w:tc>
          <w:tcPr>
            <w:tcW w:w="1260" w:type="dxa"/>
          </w:tcPr>
          <w:p>
            <w:pPr>
              <w:pStyle w:val="129"/>
              <w:ind w:left="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2</w:t>
            </w:r>
          </w:p>
        </w:tc>
        <w:tc>
          <w:tcPr>
            <w:tcW w:w="1260" w:type="dxa"/>
          </w:tcPr>
          <w:p>
            <w:pPr>
              <w:pStyle w:val="129"/>
              <w:ind w:left="0" w:firstLine="0" w:firstLineChars="0"/>
              <w:rPr>
                <w:rFonts w:asciiTheme="minorEastAsia" w:hAnsiTheme="minorEastAsia" w:eastAsiaTheme="minorEastAsia"/>
                <w:sz w:val="24"/>
                <w:szCs w:val="24"/>
              </w:rPr>
            </w:pPr>
            <w:r>
              <w:rPr>
                <w:rFonts w:asciiTheme="minorEastAsia" w:hAnsiTheme="minorEastAsia" w:eastAsiaTheme="minorEastAsia"/>
                <w:sz w:val="24"/>
                <w:szCs w:val="24"/>
              </w:rPr>
              <w:t>4</w:t>
            </w:r>
          </w:p>
        </w:tc>
        <w:tc>
          <w:tcPr>
            <w:tcW w:w="1273" w:type="dxa"/>
          </w:tcPr>
          <w:p>
            <w:pPr>
              <w:pStyle w:val="129"/>
              <w:ind w:left="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1</w:t>
            </w:r>
            <w:r>
              <w:rPr>
                <w:rFonts w:asciiTheme="minorEastAsia" w:hAnsiTheme="minorEastAsia" w:eastAsiaTheme="minorEastAsia"/>
                <w:sz w:val="24"/>
                <w:szCs w:val="24"/>
              </w:rPr>
              <w:t>T*4</w:t>
            </w:r>
          </w:p>
        </w:tc>
        <w:tc>
          <w:tcPr>
            <w:tcW w:w="2969" w:type="dxa"/>
          </w:tcPr>
          <w:p>
            <w:pPr>
              <w:pStyle w:val="129"/>
              <w:ind w:left="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5" w:type="dxa"/>
          </w:tcPr>
          <w:p>
            <w:pPr>
              <w:pStyle w:val="129"/>
              <w:ind w:left="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asciiTheme="minorEastAsia" w:hAnsiTheme="minorEastAsia" w:eastAsiaTheme="minorEastAsia"/>
                <w:sz w:val="24"/>
                <w:szCs w:val="24"/>
              </w:rPr>
              <w:t>。。</w:t>
            </w:r>
          </w:p>
        </w:tc>
        <w:tc>
          <w:tcPr>
            <w:tcW w:w="1260" w:type="dxa"/>
          </w:tcPr>
          <w:p>
            <w:pPr>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asciiTheme="minorEastAsia" w:hAnsiTheme="minorEastAsia" w:eastAsiaTheme="minorEastAsia"/>
                <w:sz w:val="24"/>
                <w:szCs w:val="24"/>
              </w:rPr>
              <w:t>。。</w:t>
            </w:r>
          </w:p>
        </w:tc>
        <w:tc>
          <w:tcPr>
            <w:tcW w:w="1260" w:type="dxa"/>
          </w:tcPr>
          <w:p>
            <w:pPr>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asciiTheme="minorEastAsia" w:hAnsiTheme="minorEastAsia" w:eastAsiaTheme="minorEastAsia"/>
                <w:sz w:val="24"/>
                <w:szCs w:val="24"/>
              </w:rPr>
              <w:t>。。</w:t>
            </w:r>
          </w:p>
        </w:tc>
        <w:tc>
          <w:tcPr>
            <w:tcW w:w="1273" w:type="dxa"/>
          </w:tcPr>
          <w:p>
            <w:pPr>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asciiTheme="minorEastAsia" w:hAnsiTheme="minorEastAsia" w:eastAsiaTheme="minorEastAsia"/>
                <w:sz w:val="24"/>
                <w:szCs w:val="24"/>
              </w:rPr>
              <w:t>。。</w:t>
            </w:r>
          </w:p>
        </w:tc>
        <w:tc>
          <w:tcPr>
            <w:tcW w:w="2969" w:type="dxa"/>
          </w:tcPr>
          <w:p>
            <w:pPr>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asciiTheme="minorEastAsia" w:hAnsiTheme="minorEastAsia" w:eastAsiaTheme="min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55" w:type="dxa"/>
          </w:tcPr>
          <w:p>
            <w:pPr>
              <w:pStyle w:val="129"/>
              <w:ind w:left="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总计</w:t>
            </w:r>
          </w:p>
        </w:tc>
        <w:tc>
          <w:tcPr>
            <w:tcW w:w="1260" w:type="dxa"/>
          </w:tcPr>
          <w:p>
            <w:pPr>
              <w:rPr>
                <w:rFonts w:asciiTheme="minorEastAsia" w:hAnsiTheme="minorEastAsia" w:eastAsiaTheme="minorEastAsia"/>
                <w:sz w:val="24"/>
                <w:szCs w:val="24"/>
              </w:rPr>
            </w:pPr>
          </w:p>
        </w:tc>
        <w:tc>
          <w:tcPr>
            <w:tcW w:w="1260" w:type="dxa"/>
          </w:tcPr>
          <w:p>
            <w:pPr>
              <w:rPr>
                <w:rFonts w:asciiTheme="minorEastAsia" w:hAnsiTheme="minorEastAsia" w:eastAsiaTheme="minorEastAsia"/>
                <w:sz w:val="24"/>
                <w:szCs w:val="24"/>
              </w:rPr>
            </w:pPr>
          </w:p>
        </w:tc>
        <w:tc>
          <w:tcPr>
            <w:tcW w:w="1273" w:type="dxa"/>
          </w:tcPr>
          <w:p>
            <w:pPr>
              <w:rPr>
                <w:rFonts w:asciiTheme="minorEastAsia" w:hAnsiTheme="minorEastAsia" w:eastAsiaTheme="minorEastAsia"/>
                <w:sz w:val="24"/>
                <w:szCs w:val="24"/>
              </w:rPr>
            </w:pPr>
          </w:p>
        </w:tc>
        <w:tc>
          <w:tcPr>
            <w:tcW w:w="2969" w:type="dxa"/>
          </w:tcPr>
          <w:p>
            <w:pPr>
              <w:rPr>
                <w:rFonts w:asciiTheme="minorEastAsia" w:hAnsiTheme="minorEastAsia" w:eastAsiaTheme="minorEastAsia"/>
                <w:sz w:val="24"/>
                <w:szCs w:val="24"/>
              </w:rPr>
            </w:pPr>
          </w:p>
        </w:tc>
      </w:tr>
    </w:tbl>
    <w:p>
      <w:pPr>
        <w:rPr>
          <w:sz w:val="24"/>
          <w:szCs w:val="24"/>
        </w:rPr>
      </w:pPr>
    </w:p>
    <w:p>
      <w:pPr>
        <w:pStyle w:val="5"/>
        <w:rPr>
          <w:sz w:val="24"/>
          <w:szCs w:val="24"/>
        </w:rPr>
      </w:pPr>
      <w:bookmarkStart w:id="79" w:name="_Toc54343107"/>
      <w:r>
        <w:rPr>
          <w:rFonts w:hint="eastAsia"/>
          <w:sz w:val="24"/>
          <w:szCs w:val="24"/>
        </w:rPr>
        <w:t>集群</w:t>
      </w:r>
      <w:r>
        <w:rPr>
          <w:sz w:val="24"/>
          <w:szCs w:val="24"/>
        </w:rPr>
        <w:t>和资源池</w:t>
      </w:r>
      <w:r>
        <w:rPr>
          <w:rFonts w:hint="eastAsia"/>
          <w:sz w:val="24"/>
          <w:szCs w:val="24"/>
        </w:rPr>
        <w:t>规格拟定</w:t>
      </w:r>
      <w:bookmarkEnd w:id="79"/>
    </w:p>
    <w:p>
      <w:pPr>
        <w:ind w:left="0" w:firstLine="420"/>
        <w:rPr>
          <w:sz w:val="24"/>
          <w:szCs w:val="24"/>
        </w:rPr>
      </w:pPr>
      <w:r>
        <w:rPr>
          <w:rFonts w:hint="eastAsia"/>
          <w:sz w:val="24"/>
          <w:szCs w:val="24"/>
        </w:rPr>
        <w:t>多集群</w:t>
      </w:r>
      <w:r>
        <w:rPr>
          <w:sz w:val="24"/>
          <w:szCs w:val="24"/>
        </w:rPr>
        <w:t>场景下，各个集群的类型和</w:t>
      </w:r>
      <w:r>
        <w:rPr>
          <w:rFonts w:hint="eastAsia"/>
          <w:sz w:val="24"/>
          <w:szCs w:val="24"/>
        </w:rPr>
        <w:t>节点数量</w:t>
      </w:r>
      <w:r>
        <w:rPr>
          <w:sz w:val="24"/>
          <w:szCs w:val="24"/>
        </w:rPr>
        <w:t>，以及故障域</w:t>
      </w:r>
      <w:r>
        <w:rPr>
          <w:rFonts w:hint="eastAsia"/>
          <w:sz w:val="24"/>
          <w:szCs w:val="24"/>
        </w:rPr>
        <w:t>和</w:t>
      </w:r>
      <w:r>
        <w:rPr>
          <w:sz w:val="24"/>
          <w:szCs w:val="24"/>
        </w:rPr>
        <w:t>硬盘池划分</w:t>
      </w:r>
    </w:p>
    <w:p>
      <w:pPr>
        <w:pStyle w:val="46"/>
        <w:jc w:val="center"/>
        <w:rPr>
          <w:sz w:val="24"/>
          <w:szCs w:val="24"/>
        </w:rPr>
      </w:pPr>
      <w:r>
        <w:rPr>
          <w:rFonts w:hint="eastAsia"/>
          <w:sz w:val="24"/>
          <w:szCs w:val="24"/>
        </w:rPr>
        <w:t>多集群的规格</w:t>
      </w:r>
    </w:p>
    <w:tbl>
      <w:tblPr>
        <w:tblStyle w:val="35"/>
        <w:tblW w:w="8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6"/>
        <w:gridCol w:w="1134"/>
        <w:gridCol w:w="992"/>
        <w:gridCol w:w="1263"/>
        <w:gridCol w:w="1430"/>
        <w:gridCol w:w="2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6" w:type="dxa"/>
          </w:tcPr>
          <w:p>
            <w:pPr>
              <w:pStyle w:val="129"/>
              <w:ind w:left="0" w:firstLine="0" w:firstLineChars="0"/>
              <w:rPr>
                <w:rFonts w:asciiTheme="minorEastAsia" w:hAnsiTheme="minorEastAsia" w:eastAsiaTheme="minorEastAsia"/>
                <w:b/>
                <w:sz w:val="24"/>
                <w:szCs w:val="24"/>
              </w:rPr>
            </w:pPr>
            <w:r>
              <w:rPr>
                <w:rFonts w:hint="eastAsia" w:asciiTheme="minorEastAsia" w:hAnsiTheme="minorEastAsia" w:eastAsiaTheme="minorEastAsia"/>
                <w:b/>
                <w:sz w:val="24"/>
                <w:szCs w:val="24"/>
              </w:rPr>
              <w:t>集群</w:t>
            </w:r>
          </w:p>
        </w:tc>
        <w:tc>
          <w:tcPr>
            <w:tcW w:w="1134" w:type="dxa"/>
          </w:tcPr>
          <w:p>
            <w:pPr>
              <w:pStyle w:val="129"/>
              <w:ind w:left="0" w:firstLine="0" w:firstLineChars="0"/>
              <w:rPr>
                <w:rFonts w:asciiTheme="minorEastAsia" w:hAnsiTheme="minorEastAsia" w:eastAsiaTheme="minorEastAsia"/>
                <w:b/>
                <w:sz w:val="24"/>
                <w:szCs w:val="24"/>
              </w:rPr>
            </w:pPr>
            <w:r>
              <w:rPr>
                <w:rFonts w:hint="eastAsia" w:asciiTheme="minorEastAsia" w:hAnsiTheme="minorEastAsia" w:eastAsiaTheme="minorEastAsia"/>
                <w:b/>
                <w:sz w:val="24"/>
                <w:szCs w:val="24"/>
              </w:rPr>
              <w:t>集群类型</w:t>
            </w:r>
          </w:p>
        </w:tc>
        <w:tc>
          <w:tcPr>
            <w:tcW w:w="992" w:type="dxa"/>
          </w:tcPr>
          <w:p>
            <w:pPr>
              <w:pStyle w:val="129"/>
              <w:ind w:left="0" w:firstLine="0" w:firstLineChars="0"/>
              <w:rPr>
                <w:rFonts w:asciiTheme="minorEastAsia" w:hAnsiTheme="minorEastAsia" w:eastAsiaTheme="minorEastAsia"/>
                <w:b/>
                <w:sz w:val="24"/>
                <w:szCs w:val="24"/>
              </w:rPr>
            </w:pPr>
            <w:r>
              <w:rPr>
                <w:rFonts w:hint="eastAsia" w:asciiTheme="minorEastAsia" w:hAnsiTheme="minorEastAsia" w:eastAsiaTheme="minorEastAsia"/>
                <w:b/>
                <w:sz w:val="24"/>
                <w:szCs w:val="24"/>
              </w:rPr>
              <w:t>资源池</w:t>
            </w:r>
          </w:p>
        </w:tc>
        <w:tc>
          <w:tcPr>
            <w:tcW w:w="1263" w:type="dxa"/>
          </w:tcPr>
          <w:p>
            <w:pPr>
              <w:pStyle w:val="129"/>
              <w:ind w:left="0" w:firstLine="0" w:firstLineChars="0"/>
              <w:rPr>
                <w:rFonts w:asciiTheme="minorEastAsia" w:hAnsiTheme="minorEastAsia" w:eastAsiaTheme="minorEastAsia"/>
                <w:b/>
                <w:sz w:val="24"/>
                <w:szCs w:val="24"/>
              </w:rPr>
            </w:pPr>
            <w:r>
              <w:rPr>
                <w:rFonts w:hint="eastAsia" w:asciiTheme="minorEastAsia" w:hAnsiTheme="minorEastAsia" w:eastAsiaTheme="minorEastAsia"/>
                <w:b/>
                <w:sz w:val="24"/>
                <w:szCs w:val="24"/>
              </w:rPr>
              <w:t>节点</w:t>
            </w:r>
            <w:r>
              <w:rPr>
                <w:rFonts w:asciiTheme="minorEastAsia" w:hAnsiTheme="minorEastAsia" w:eastAsiaTheme="minorEastAsia"/>
                <w:b/>
                <w:sz w:val="24"/>
                <w:szCs w:val="24"/>
              </w:rPr>
              <w:t>数量</w:t>
            </w:r>
          </w:p>
        </w:tc>
        <w:tc>
          <w:tcPr>
            <w:tcW w:w="1430" w:type="dxa"/>
          </w:tcPr>
          <w:p>
            <w:pPr>
              <w:pStyle w:val="129"/>
              <w:ind w:left="0" w:firstLine="0" w:firstLineChars="0"/>
              <w:rPr>
                <w:rFonts w:asciiTheme="minorEastAsia" w:hAnsiTheme="minorEastAsia" w:eastAsiaTheme="minorEastAsia"/>
                <w:b/>
                <w:sz w:val="24"/>
                <w:szCs w:val="24"/>
              </w:rPr>
            </w:pPr>
            <w:r>
              <w:rPr>
                <w:rFonts w:hint="eastAsia" w:asciiTheme="minorEastAsia" w:hAnsiTheme="minorEastAsia" w:eastAsiaTheme="minorEastAsia"/>
                <w:b/>
                <w:sz w:val="24"/>
                <w:szCs w:val="24"/>
              </w:rPr>
              <w:t>故障域</w:t>
            </w:r>
            <w:r>
              <w:rPr>
                <w:rFonts w:asciiTheme="minorEastAsia" w:hAnsiTheme="minorEastAsia" w:eastAsiaTheme="minorEastAsia"/>
                <w:b/>
                <w:sz w:val="24"/>
                <w:szCs w:val="24"/>
              </w:rPr>
              <w:t>划分</w:t>
            </w:r>
          </w:p>
        </w:tc>
        <w:tc>
          <w:tcPr>
            <w:tcW w:w="2260" w:type="dxa"/>
          </w:tcPr>
          <w:p>
            <w:pPr>
              <w:pStyle w:val="129"/>
              <w:ind w:left="0" w:firstLine="0" w:firstLineChars="0"/>
              <w:rPr>
                <w:rFonts w:asciiTheme="minorEastAsia" w:hAnsiTheme="minorEastAsia" w:eastAsiaTheme="minorEastAsia"/>
                <w:b/>
                <w:sz w:val="24"/>
                <w:szCs w:val="24"/>
              </w:rPr>
            </w:pPr>
            <w:r>
              <w:rPr>
                <w:rFonts w:hint="eastAsia" w:asciiTheme="minorEastAsia" w:hAnsiTheme="minorEastAsia" w:eastAsiaTheme="minorEastAsia"/>
                <w:b/>
                <w:sz w:val="24"/>
                <w:szCs w:val="24"/>
              </w:rPr>
              <w:t>硬盘池</w:t>
            </w:r>
            <w:r>
              <w:rPr>
                <w:rFonts w:asciiTheme="minorEastAsia" w:hAnsiTheme="minorEastAsia" w:eastAsiaTheme="minorEastAsia"/>
                <w:b/>
                <w:sz w:val="24"/>
                <w:szCs w:val="24"/>
              </w:rPr>
              <w:t>划分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6" w:type="dxa"/>
          </w:tcPr>
          <w:p>
            <w:pPr>
              <w:pStyle w:val="129"/>
              <w:ind w:left="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集群</w:t>
            </w:r>
          </w:p>
        </w:tc>
        <w:tc>
          <w:tcPr>
            <w:tcW w:w="1134" w:type="dxa"/>
          </w:tcPr>
          <w:p>
            <w:pPr>
              <w:pStyle w:val="129"/>
              <w:ind w:left="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高性能</w:t>
            </w:r>
          </w:p>
        </w:tc>
        <w:tc>
          <w:tcPr>
            <w:tcW w:w="992" w:type="dxa"/>
          </w:tcPr>
          <w:p>
            <w:pPr>
              <w:pStyle w:val="129"/>
              <w:ind w:left="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高性能</w:t>
            </w:r>
          </w:p>
        </w:tc>
        <w:tc>
          <w:tcPr>
            <w:tcW w:w="1263" w:type="dxa"/>
          </w:tcPr>
          <w:p>
            <w:pPr>
              <w:pStyle w:val="129"/>
              <w:ind w:left="0" w:firstLine="0" w:firstLineChars="0"/>
              <w:rPr>
                <w:rFonts w:asciiTheme="minorEastAsia" w:hAnsiTheme="minorEastAsia" w:eastAsiaTheme="minorEastAsia"/>
                <w:sz w:val="24"/>
                <w:szCs w:val="24"/>
              </w:rPr>
            </w:pPr>
            <w:r>
              <w:rPr>
                <w:rFonts w:asciiTheme="minorEastAsia" w:hAnsiTheme="minorEastAsia" w:eastAsiaTheme="minorEastAsia"/>
                <w:sz w:val="24"/>
                <w:szCs w:val="24"/>
              </w:rPr>
              <w:t>4</w:t>
            </w:r>
          </w:p>
        </w:tc>
        <w:tc>
          <w:tcPr>
            <w:tcW w:w="1430" w:type="dxa"/>
          </w:tcPr>
          <w:p>
            <w:pPr>
              <w:pStyle w:val="129"/>
              <w:ind w:left="0" w:firstLine="0" w:firstLineChars="0"/>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节点</w:t>
            </w:r>
            <w:r>
              <w:rPr>
                <w:rFonts w:asciiTheme="minorEastAsia" w:hAnsiTheme="minorEastAsia" w:eastAsiaTheme="minorEastAsia"/>
                <w:sz w:val="24"/>
                <w:szCs w:val="24"/>
              </w:rPr>
              <w:t>为一故障域</w:t>
            </w:r>
          </w:p>
        </w:tc>
        <w:tc>
          <w:tcPr>
            <w:tcW w:w="2260" w:type="dxa"/>
          </w:tcPr>
          <w:p>
            <w:pPr>
              <w:pStyle w:val="129"/>
              <w:ind w:left="0" w:firstLine="0" w:firstLineChars="0"/>
              <w:jc w:val="left"/>
              <w:rPr>
                <w:rFonts w:asciiTheme="minorEastAsia" w:hAnsiTheme="minorEastAsia" w:eastAsiaTheme="minorEastAsia"/>
                <w:sz w:val="24"/>
                <w:szCs w:val="24"/>
              </w:rPr>
            </w:pPr>
            <w:r>
              <w:rPr>
                <w:rFonts w:hint="eastAsia" w:asciiTheme="minorEastAsia" w:hAnsiTheme="minorEastAsia" w:eastAsiaTheme="minorEastAsia"/>
                <w:sz w:val="24"/>
                <w:szCs w:val="24"/>
              </w:rPr>
              <w:t>单</w:t>
            </w:r>
            <w:r>
              <w:rPr>
                <w:rFonts w:asciiTheme="minorEastAsia" w:hAnsiTheme="minorEastAsia" w:eastAsiaTheme="minorEastAsia"/>
                <w:sz w:val="24"/>
                <w:szCs w:val="24"/>
              </w:rPr>
              <w:t>硬盘池</w:t>
            </w:r>
          </w:p>
          <w:p>
            <w:pPr>
              <w:pStyle w:val="129"/>
              <w:ind w:left="0" w:firstLine="0" w:firstLineChars="0"/>
              <w:jc w:val="left"/>
              <w:rPr>
                <w:rFonts w:asciiTheme="minorEastAsia" w:hAnsiTheme="minorEastAsia" w:eastAsiaTheme="minorEastAsia"/>
                <w:sz w:val="24"/>
                <w:szCs w:val="24"/>
              </w:rPr>
            </w:pPr>
            <w:r>
              <w:rPr>
                <w:rFonts w:hint="eastAsia" w:asciiTheme="minorEastAsia" w:hAnsiTheme="minorEastAsia" w:eastAsiaTheme="minorEastAsia"/>
                <w:sz w:val="24"/>
                <w:szCs w:val="24"/>
              </w:rPr>
              <w:t>闪存加速NVMe + HDD</w:t>
            </w:r>
            <w:r>
              <w:rPr>
                <w:rFonts w:asciiTheme="minorEastAsia" w:hAnsiTheme="minorEastAsia" w:eastAsiaTheme="minorEastAsia"/>
                <w:sz w:val="24"/>
                <w:szCs w:val="24"/>
              </w:rPr>
              <w:t xml:space="preserve"> 3</w:t>
            </w:r>
            <w:r>
              <w:rPr>
                <w:rFonts w:hint="eastAsia" w:asciiTheme="minorEastAsia" w:hAnsiTheme="minorEastAsia" w:eastAsiaTheme="minorEastAsia"/>
                <w:sz w:val="24"/>
                <w:szCs w:val="24"/>
              </w:rPr>
              <w:t>副本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6" w:type="dxa"/>
          </w:tcPr>
          <w:p>
            <w:pPr>
              <w:pStyle w:val="129"/>
              <w:ind w:left="0" w:firstLine="0" w:firstLineChars="0"/>
              <w:jc w:val="left"/>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asciiTheme="minorEastAsia" w:hAnsiTheme="minorEastAsia" w:eastAsiaTheme="minorEastAsia"/>
                <w:sz w:val="24"/>
                <w:szCs w:val="24"/>
              </w:rPr>
              <w:t>。。</w:t>
            </w:r>
          </w:p>
        </w:tc>
        <w:tc>
          <w:tcPr>
            <w:tcW w:w="1134" w:type="dxa"/>
          </w:tcPr>
          <w:p>
            <w:pPr>
              <w:ind w:left="0"/>
              <w:jc w:val="left"/>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asciiTheme="minorEastAsia" w:hAnsiTheme="minorEastAsia" w:eastAsiaTheme="minorEastAsia"/>
                <w:sz w:val="24"/>
                <w:szCs w:val="24"/>
              </w:rPr>
              <w:t>。。</w:t>
            </w:r>
          </w:p>
        </w:tc>
        <w:tc>
          <w:tcPr>
            <w:tcW w:w="992" w:type="dxa"/>
          </w:tcPr>
          <w:p>
            <w:pPr>
              <w:ind w:left="0"/>
              <w:jc w:val="left"/>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asciiTheme="minorEastAsia" w:hAnsiTheme="minorEastAsia" w:eastAsiaTheme="minorEastAsia"/>
                <w:sz w:val="24"/>
                <w:szCs w:val="24"/>
              </w:rPr>
              <w:t>。。</w:t>
            </w:r>
          </w:p>
        </w:tc>
        <w:tc>
          <w:tcPr>
            <w:tcW w:w="1263" w:type="dxa"/>
          </w:tcPr>
          <w:p>
            <w:pPr>
              <w:ind w:left="0"/>
              <w:jc w:val="left"/>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asciiTheme="minorEastAsia" w:hAnsiTheme="minorEastAsia" w:eastAsiaTheme="minorEastAsia"/>
                <w:sz w:val="24"/>
                <w:szCs w:val="24"/>
              </w:rPr>
              <w:t>。。</w:t>
            </w:r>
          </w:p>
        </w:tc>
        <w:tc>
          <w:tcPr>
            <w:tcW w:w="1430" w:type="dxa"/>
          </w:tcPr>
          <w:p>
            <w:pPr>
              <w:ind w:left="0"/>
              <w:jc w:val="left"/>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asciiTheme="minorEastAsia" w:hAnsiTheme="minorEastAsia" w:eastAsiaTheme="minorEastAsia"/>
                <w:sz w:val="24"/>
                <w:szCs w:val="24"/>
              </w:rPr>
              <w:t>。。</w:t>
            </w:r>
          </w:p>
        </w:tc>
        <w:tc>
          <w:tcPr>
            <w:tcW w:w="2260" w:type="dxa"/>
          </w:tcPr>
          <w:p>
            <w:pPr>
              <w:pStyle w:val="129"/>
              <w:ind w:left="0" w:firstLine="0" w:firstLineChars="0"/>
              <w:jc w:val="left"/>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asciiTheme="minorEastAsia" w:hAnsiTheme="minorEastAsia" w:eastAsiaTheme="minorEastAsia"/>
                <w:sz w:val="24"/>
                <w:szCs w:val="24"/>
              </w:rPr>
              <w:t>。。</w:t>
            </w:r>
          </w:p>
        </w:tc>
      </w:tr>
    </w:tbl>
    <w:p>
      <w:pPr>
        <w:ind w:left="0" w:firstLine="420"/>
        <w:rPr>
          <w:rFonts w:asciiTheme="minorEastAsia" w:hAnsiTheme="minorEastAsia" w:eastAsiaTheme="minorEastAsia"/>
          <w:sz w:val="24"/>
          <w:szCs w:val="24"/>
        </w:rPr>
      </w:pPr>
      <w:r>
        <w:rPr>
          <w:rFonts w:asciiTheme="minorEastAsia" w:hAnsiTheme="minorEastAsia" w:eastAsiaTheme="minorEastAsia"/>
          <w:sz w:val="24"/>
          <w:szCs w:val="24"/>
        </w:rPr>
        <w:t>单集群场景下</w:t>
      </w:r>
      <w:r>
        <w:rPr>
          <w:rFonts w:hint="eastAsia" w:asciiTheme="minorEastAsia" w:hAnsiTheme="minorEastAsia" w:eastAsiaTheme="minorEastAsia"/>
          <w:sz w:val="24"/>
          <w:szCs w:val="24"/>
        </w:rPr>
        <w:t>，</w:t>
      </w:r>
      <w:r>
        <w:rPr>
          <w:rFonts w:asciiTheme="minorEastAsia" w:hAnsiTheme="minorEastAsia" w:eastAsiaTheme="minorEastAsia"/>
          <w:sz w:val="24"/>
          <w:szCs w:val="24"/>
        </w:rPr>
        <w:t>集群节点数量，故障域</w:t>
      </w:r>
      <w:r>
        <w:rPr>
          <w:rFonts w:hint="eastAsia" w:asciiTheme="minorEastAsia" w:hAnsiTheme="minorEastAsia" w:eastAsiaTheme="minorEastAsia"/>
          <w:sz w:val="24"/>
          <w:szCs w:val="24"/>
        </w:rPr>
        <w:t>，</w:t>
      </w:r>
      <w:r>
        <w:rPr>
          <w:rFonts w:asciiTheme="minorEastAsia" w:hAnsiTheme="minorEastAsia" w:eastAsiaTheme="minorEastAsia"/>
          <w:sz w:val="24"/>
          <w:szCs w:val="24"/>
        </w:rPr>
        <w:t>硬盘池</w:t>
      </w:r>
    </w:p>
    <w:p>
      <w:pPr>
        <w:pStyle w:val="46"/>
        <w:jc w:val="center"/>
        <w:rPr>
          <w:sz w:val="24"/>
          <w:szCs w:val="24"/>
        </w:rPr>
      </w:pPr>
      <w:r>
        <w:rPr>
          <w:rFonts w:hint="eastAsia"/>
          <w:sz w:val="24"/>
          <w:szCs w:val="24"/>
        </w:rPr>
        <w:t>单</w:t>
      </w:r>
      <w:r>
        <w:rPr>
          <w:sz w:val="24"/>
          <w:szCs w:val="24"/>
        </w:rPr>
        <w:t>集群</w:t>
      </w:r>
      <w:r>
        <w:rPr>
          <w:rFonts w:hint="eastAsia"/>
          <w:sz w:val="24"/>
          <w:szCs w:val="24"/>
        </w:rPr>
        <w:t>的规格</w:t>
      </w:r>
    </w:p>
    <w:p>
      <w:pPr>
        <w:pStyle w:val="5"/>
        <w:rPr>
          <w:sz w:val="24"/>
          <w:szCs w:val="24"/>
        </w:rPr>
      </w:pPr>
      <w:bookmarkStart w:id="80" w:name="_Toc54343109"/>
      <w:r>
        <w:rPr>
          <w:rFonts w:hint="eastAsia"/>
          <w:sz w:val="24"/>
          <w:szCs w:val="24"/>
        </w:rPr>
        <w:t>各类服务器</w:t>
      </w:r>
      <w:r>
        <w:rPr>
          <w:sz w:val="24"/>
          <w:szCs w:val="24"/>
        </w:rPr>
        <w:t>规格</w:t>
      </w:r>
      <w:bookmarkEnd w:id="80"/>
    </w:p>
    <w:p>
      <w:pPr>
        <w:ind w:left="0" w:firstLine="420"/>
        <w:rPr>
          <w:sz w:val="24"/>
          <w:szCs w:val="24"/>
        </w:rPr>
      </w:pPr>
      <w:r>
        <w:rPr>
          <w:rFonts w:hint="eastAsia"/>
          <w:sz w:val="24"/>
          <w:szCs w:val="24"/>
        </w:rPr>
        <w:t>按照</w:t>
      </w:r>
      <w:r>
        <w:rPr>
          <w:sz w:val="24"/>
          <w:szCs w:val="24"/>
        </w:rPr>
        <w:t>第五章资源规划和计算，</w:t>
      </w:r>
      <w:r>
        <w:rPr>
          <w:rFonts w:hint="eastAsia"/>
          <w:sz w:val="24"/>
          <w:szCs w:val="24"/>
        </w:rPr>
        <w:t>在综合</w:t>
      </w:r>
      <w:r>
        <w:rPr>
          <w:sz w:val="24"/>
          <w:szCs w:val="24"/>
        </w:rPr>
        <w:t>考虑业务需要、超分配、</w:t>
      </w:r>
      <w:r>
        <w:rPr>
          <w:rFonts w:hint="eastAsia"/>
          <w:sz w:val="24"/>
          <w:szCs w:val="24"/>
        </w:rPr>
        <w:t>预留</w:t>
      </w:r>
      <w:r>
        <w:rPr>
          <w:sz w:val="24"/>
          <w:szCs w:val="24"/>
        </w:rPr>
        <w:t>等</w:t>
      </w:r>
      <w:r>
        <w:rPr>
          <w:rFonts w:hint="eastAsia"/>
          <w:sz w:val="24"/>
          <w:szCs w:val="24"/>
        </w:rPr>
        <w:t>因素</w:t>
      </w:r>
      <w:r>
        <w:rPr>
          <w:sz w:val="24"/>
          <w:szCs w:val="24"/>
        </w:rPr>
        <w:t>，确认</w:t>
      </w:r>
      <w:r>
        <w:rPr>
          <w:rFonts w:hint="eastAsia"/>
          <w:sz w:val="24"/>
          <w:szCs w:val="24"/>
        </w:rPr>
        <w:t>集群</w:t>
      </w:r>
      <w:r>
        <w:rPr>
          <w:sz w:val="24"/>
          <w:szCs w:val="24"/>
        </w:rPr>
        <w:t>节点数量的</w:t>
      </w:r>
      <w:r>
        <w:rPr>
          <w:rFonts w:hint="eastAsia"/>
          <w:sz w:val="24"/>
          <w:szCs w:val="24"/>
        </w:rPr>
        <w:t>前提</w:t>
      </w:r>
      <w:r>
        <w:rPr>
          <w:sz w:val="24"/>
          <w:szCs w:val="24"/>
        </w:rPr>
        <w:t>下，拟定服务器的配置。</w:t>
      </w:r>
    </w:p>
    <w:p>
      <w:pPr>
        <w:pStyle w:val="46"/>
        <w:jc w:val="center"/>
        <w:rPr>
          <w:sz w:val="24"/>
          <w:szCs w:val="24"/>
        </w:rPr>
      </w:pPr>
      <w:r>
        <w:rPr>
          <w:rFonts w:hint="eastAsia"/>
          <w:sz w:val="24"/>
          <w:szCs w:val="24"/>
        </w:rPr>
        <w:t>服务器</w:t>
      </w:r>
      <w:r>
        <w:rPr>
          <w:sz w:val="24"/>
          <w:szCs w:val="24"/>
        </w:rPr>
        <w:t>集群的规格</w:t>
      </w:r>
    </w:p>
    <w:tbl>
      <w:tblPr>
        <w:tblStyle w:val="35"/>
        <w:tblW w:w="80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7"/>
        <w:gridCol w:w="1428"/>
        <w:gridCol w:w="1571"/>
        <w:gridCol w:w="39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7" w:type="dxa"/>
          </w:tcPr>
          <w:p>
            <w:pPr>
              <w:pStyle w:val="129"/>
              <w:ind w:left="0" w:firstLine="0" w:firstLineChars="0"/>
              <w:rPr>
                <w:rFonts w:asciiTheme="minorEastAsia" w:hAnsiTheme="minorEastAsia" w:eastAsiaTheme="minorEastAsia"/>
                <w:b/>
                <w:sz w:val="24"/>
                <w:szCs w:val="24"/>
              </w:rPr>
            </w:pPr>
            <w:r>
              <w:rPr>
                <w:rFonts w:hint="eastAsia" w:asciiTheme="minorEastAsia" w:hAnsiTheme="minorEastAsia" w:eastAsiaTheme="minorEastAsia"/>
                <w:b/>
                <w:sz w:val="24"/>
                <w:szCs w:val="24"/>
              </w:rPr>
              <w:t>集群</w:t>
            </w:r>
          </w:p>
        </w:tc>
        <w:tc>
          <w:tcPr>
            <w:tcW w:w="1428" w:type="dxa"/>
          </w:tcPr>
          <w:p>
            <w:pPr>
              <w:pStyle w:val="129"/>
              <w:ind w:left="0" w:firstLine="0" w:firstLineChars="0"/>
              <w:rPr>
                <w:rFonts w:asciiTheme="minorEastAsia" w:hAnsiTheme="minorEastAsia" w:eastAsiaTheme="minorEastAsia"/>
                <w:b/>
                <w:sz w:val="24"/>
                <w:szCs w:val="24"/>
              </w:rPr>
            </w:pPr>
            <w:r>
              <w:rPr>
                <w:rFonts w:hint="eastAsia" w:asciiTheme="minorEastAsia" w:hAnsiTheme="minorEastAsia" w:eastAsiaTheme="minorEastAsia"/>
                <w:b/>
                <w:sz w:val="24"/>
                <w:szCs w:val="24"/>
              </w:rPr>
              <w:t>集群</w:t>
            </w:r>
            <w:r>
              <w:rPr>
                <w:rFonts w:asciiTheme="minorEastAsia" w:hAnsiTheme="minorEastAsia" w:eastAsiaTheme="minorEastAsia"/>
                <w:b/>
                <w:sz w:val="24"/>
                <w:szCs w:val="24"/>
              </w:rPr>
              <w:t>类型</w:t>
            </w:r>
          </w:p>
        </w:tc>
        <w:tc>
          <w:tcPr>
            <w:tcW w:w="1571" w:type="dxa"/>
          </w:tcPr>
          <w:p>
            <w:pPr>
              <w:pStyle w:val="129"/>
              <w:ind w:left="0" w:firstLine="0" w:firstLineChars="0"/>
              <w:rPr>
                <w:rFonts w:asciiTheme="minorEastAsia" w:hAnsiTheme="minorEastAsia" w:eastAsiaTheme="minorEastAsia"/>
                <w:b/>
                <w:sz w:val="24"/>
                <w:szCs w:val="24"/>
              </w:rPr>
            </w:pPr>
            <w:r>
              <w:rPr>
                <w:rFonts w:hint="eastAsia" w:asciiTheme="minorEastAsia" w:hAnsiTheme="minorEastAsia" w:eastAsiaTheme="minorEastAsia"/>
                <w:b/>
                <w:sz w:val="24"/>
                <w:szCs w:val="24"/>
              </w:rPr>
              <w:t>服务器</w:t>
            </w:r>
            <w:r>
              <w:rPr>
                <w:rFonts w:asciiTheme="minorEastAsia" w:hAnsiTheme="minorEastAsia" w:eastAsiaTheme="minorEastAsia"/>
                <w:b/>
                <w:sz w:val="24"/>
                <w:szCs w:val="24"/>
              </w:rPr>
              <w:t>类型</w:t>
            </w:r>
          </w:p>
        </w:tc>
        <w:tc>
          <w:tcPr>
            <w:tcW w:w="3929" w:type="dxa"/>
          </w:tcPr>
          <w:p>
            <w:pPr>
              <w:pStyle w:val="129"/>
              <w:ind w:left="0" w:firstLine="0" w:firstLineChars="0"/>
              <w:rPr>
                <w:rFonts w:asciiTheme="minorEastAsia" w:hAnsiTheme="minorEastAsia" w:eastAsiaTheme="minorEastAsia"/>
                <w:b/>
                <w:sz w:val="24"/>
                <w:szCs w:val="24"/>
              </w:rPr>
            </w:pPr>
            <w:r>
              <w:rPr>
                <w:rFonts w:hint="eastAsia" w:asciiTheme="minorEastAsia" w:hAnsiTheme="minorEastAsia" w:eastAsiaTheme="minorEastAsia"/>
                <w:b/>
                <w:sz w:val="24"/>
                <w:szCs w:val="24"/>
              </w:rPr>
              <w:t>服务器</w:t>
            </w:r>
            <w:r>
              <w:rPr>
                <w:rFonts w:asciiTheme="minorEastAsia" w:hAnsiTheme="minorEastAsia" w:eastAsiaTheme="minorEastAsia"/>
                <w:b/>
                <w:sz w:val="24"/>
                <w:szCs w:val="24"/>
              </w:rPr>
              <w:t>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4" w:hRule="atLeast"/>
          <w:jc w:val="center"/>
        </w:trPr>
        <w:tc>
          <w:tcPr>
            <w:tcW w:w="1147" w:type="dxa"/>
          </w:tcPr>
          <w:p>
            <w:pPr>
              <w:pStyle w:val="129"/>
              <w:ind w:left="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集群</w:t>
            </w:r>
          </w:p>
        </w:tc>
        <w:tc>
          <w:tcPr>
            <w:tcW w:w="1428" w:type="dxa"/>
          </w:tcPr>
          <w:p>
            <w:pPr>
              <w:pStyle w:val="129"/>
              <w:ind w:left="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常规</w:t>
            </w:r>
          </w:p>
        </w:tc>
        <w:tc>
          <w:tcPr>
            <w:tcW w:w="1571" w:type="dxa"/>
          </w:tcPr>
          <w:p>
            <w:pPr>
              <w:pStyle w:val="129"/>
              <w:ind w:left="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常规</w:t>
            </w:r>
          </w:p>
        </w:tc>
        <w:tc>
          <w:tcPr>
            <w:tcW w:w="3929" w:type="dxa"/>
          </w:tcPr>
          <w:p>
            <w:pPr>
              <w:pStyle w:val="129"/>
              <w:ind w:left="0" w:firstLine="0" w:firstLineChars="0"/>
              <w:jc w:val="left"/>
              <w:rPr>
                <w:rFonts w:asciiTheme="minorEastAsia" w:hAnsiTheme="minorEastAsia" w:eastAsiaTheme="minorEastAsia"/>
                <w:sz w:val="24"/>
                <w:szCs w:val="24"/>
              </w:rPr>
            </w:pPr>
            <w:r>
              <w:rPr>
                <w:rFonts w:asciiTheme="minorEastAsia" w:hAnsiTheme="minorEastAsia" w:eastAsiaTheme="minorEastAsia"/>
                <w:sz w:val="24"/>
                <w:szCs w:val="24"/>
              </w:rPr>
              <w:t>CPU: 2U2</w:t>
            </w:r>
            <w:r>
              <w:rPr>
                <w:rFonts w:hint="eastAsia" w:asciiTheme="minorEastAsia" w:hAnsiTheme="minorEastAsia" w:eastAsiaTheme="minorEastAsia"/>
                <w:sz w:val="24"/>
                <w:szCs w:val="24"/>
              </w:rPr>
              <w:t>路</w:t>
            </w:r>
          </w:p>
          <w:p>
            <w:pPr>
              <w:pStyle w:val="129"/>
              <w:ind w:left="0" w:firstLine="0" w:firstLineChars="0"/>
              <w:jc w:val="left"/>
              <w:rPr>
                <w:rFonts w:asciiTheme="minorEastAsia" w:hAnsiTheme="minorEastAsia" w:eastAsiaTheme="minorEastAsia"/>
                <w:sz w:val="24"/>
                <w:szCs w:val="24"/>
              </w:rPr>
            </w:pPr>
            <w:r>
              <w:rPr>
                <w:rFonts w:asciiTheme="minorEastAsia" w:hAnsiTheme="minorEastAsia" w:eastAsiaTheme="minorEastAsia"/>
                <w:sz w:val="24"/>
                <w:szCs w:val="24"/>
              </w:rPr>
              <w:t>2.8G</w:t>
            </w:r>
            <w:r>
              <w:rPr>
                <w:rFonts w:hint="eastAsia" w:asciiTheme="minorEastAsia" w:hAnsiTheme="minorEastAsia" w:eastAsiaTheme="minorEastAsia"/>
                <w:sz w:val="24"/>
                <w:szCs w:val="24"/>
              </w:rPr>
              <w:t>H</w:t>
            </w:r>
            <w:r>
              <w:rPr>
                <w:rFonts w:asciiTheme="minorEastAsia" w:hAnsiTheme="minorEastAsia" w:eastAsiaTheme="minorEastAsia"/>
                <w:sz w:val="24"/>
                <w:szCs w:val="24"/>
              </w:rPr>
              <w:t>z，24</w:t>
            </w:r>
            <w:r>
              <w:rPr>
                <w:rFonts w:hint="eastAsia" w:asciiTheme="minorEastAsia" w:hAnsiTheme="minorEastAsia" w:eastAsiaTheme="minorEastAsia"/>
                <w:sz w:val="24"/>
                <w:szCs w:val="24"/>
              </w:rPr>
              <w:t>核</w:t>
            </w:r>
          </w:p>
          <w:p>
            <w:pPr>
              <w:pStyle w:val="129"/>
              <w:ind w:left="0" w:firstLine="0" w:firstLineChars="0"/>
              <w:jc w:val="left"/>
              <w:rPr>
                <w:rFonts w:asciiTheme="minorEastAsia" w:hAnsiTheme="minorEastAsia" w:eastAsiaTheme="minorEastAsia"/>
                <w:sz w:val="24"/>
                <w:szCs w:val="24"/>
              </w:rPr>
            </w:pPr>
            <w:r>
              <w:rPr>
                <w:rFonts w:hint="eastAsia" w:asciiTheme="minorEastAsia" w:hAnsiTheme="minorEastAsia" w:eastAsiaTheme="minorEastAsia"/>
                <w:sz w:val="24"/>
                <w:szCs w:val="24"/>
              </w:rPr>
              <w:t>内存</w:t>
            </w:r>
            <w:r>
              <w:rPr>
                <w:rFonts w:asciiTheme="minorEastAsia" w:hAnsiTheme="minorEastAsia" w:eastAsiaTheme="minorEastAsia"/>
                <w:sz w:val="24"/>
                <w:szCs w:val="24"/>
              </w:rPr>
              <w:t>：384G</w:t>
            </w:r>
          </w:p>
          <w:p>
            <w:pPr>
              <w:pStyle w:val="129"/>
              <w:ind w:left="0" w:firstLine="0" w:firstLineChars="0"/>
              <w:jc w:val="left"/>
              <w:rPr>
                <w:rFonts w:asciiTheme="minorEastAsia" w:hAnsiTheme="minorEastAsia" w:eastAsiaTheme="minorEastAsia"/>
                <w:sz w:val="24"/>
                <w:szCs w:val="24"/>
              </w:rPr>
            </w:pPr>
            <w:r>
              <w:rPr>
                <w:rFonts w:hint="eastAsia" w:asciiTheme="minorEastAsia" w:hAnsiTheme="minorEastAsia" w:eastAsiaTheme="minorEastAsia"/>
                <w:sz w:val="24"/>
                <w:szCs w:val="24"/>
              </w:rPr>
              <w:t>系统盘</w:t>
            </w:r>
            <w:r>
              <w:rPr>
                <w:rFonts w:asciiTheme="minorEastAsia" w:hAnsiTheme="minorEastAsia" w:eastAsiaTheme="minorEastAsia"/>
                <w:sz w:val="24"/>
                <w:szCs w:val="24"/>
              </w:rPr>
              <w:t>：</w:t>
            </w:r>
            <w:r>
              <w:rPr>
                <w:rFonts w:hint="eastAsia" w:asciiTheme="minorEastAsia" w:hAnsiTheme="minorEastAsia" w:eastAsiaTheme="minorEastAsia"/>
                <w:sz w:val="24"/>
                <w:szCs w:val="24"/>
              </w:rPr>
              <w:t>2</w:t>
            </w:r>
            <w:r>
              <w:rPr>
                <w:rFonts w:asciiTheme="minorEastAsia" w:hAnsiTheme="minorEastAsia" w:eastAsiaTheme="minorEastAsia"/>
                <w:sz w:val="24"/>
                <w:szCs w:val="24"/>
              </w:rPr>
              <w:t xml:space="preserve">*480G </w:t>
            </w:r>
            <w:r>
              <w:rPr>
                <w:rFonts w:hint="eastAsia" w:asciiTheme="minorEastAsia" w:hAnsiTheme="minorEastAsia" w:eastAsiaTheme="minorEastAsia"/>
                <w:sz w:val="24"/>
                <w:szCs w:val="24"/>
              </w:rPr>
              <w:t>SSD</w:t>
            </w:r>
          </w:p>
          <w:p>
            <w:pPr>
              <w:pStyle w:val="129"/>
              <w:ind w:left="0" w:firstLine="0" w:firstLineChars="0"/>
              <w:jc w:val="left"/>
              <w:rPr>
                <w:rFonts w:asciiTheme="minorEastAsia" w:hAnsiTheme="minorEastAsia" w:eastAsiaTheme="minorEastAsia"/>
                <w:sz w:val="24"/>
                <w:szCs w:val="24"/>
              </w:rPr>
            </w:pPr>
            <w:r>
              <w:rPr>
                <w:rFonts w:hint="eastAsia" w:asciiTheme="minorEastAsia" w:hAnsiTheme="minorEastAsia" w:eastAsiaTheme="minorEastAsia"/>
                <w:sz w:val="24"/>
                <w:szCs w:val="24"/>
              </w:rPr>
              <w:t>数据盘</w:t>
            </w:r>
            <w:r>
              <w:rPr>
                <w:rFonts w:asciiTheme="minorEastAsia" w:hAnsiTheme="minorEastAsia" w:eastAsiaTheme="minorEastAsia"/>
                <w:sz w:val="24"/>
                <w:szCs w:val="24"/>
              </w:rPr>
              <w:t>：2</w:t>
            </w:r>
            <w:r>
              <w:rPr>
                <w:rFonts w:hint="eastAsia" w:asciiTheme="minorEastAsia" w:hAnsiTheme="minorEastAsia" w:eastAsiaTheme="minorEastAsia"/>
                <w:sz w:val="24"/>
                <w:szCs w:val="24"/>
              </w:rPr>
              <w:t>*NVM</w:t>
            </w:r>
            <w:r>
              <w:rPr>
                <w:rFonts w:asciiTheme="minorEastAsia" w:hAnsiTheme="minorEastAsia" w:eastAsiaTheme="minorEastAsia"/>
                <w:sz w:val="24"/>
                <w:szCs w:val="24"/>
              </w:rPr>
              <w:t>e 9.6T + 4*6T SATA</w:t>
            </w:r>
          </w:p>
          <w:p>
            <w:pPr>
              <w:pStyle w:val="129"/>
              <w:ind w:left="0" w:firstLine="0" w:firstLineChars="0"/>
              <w:jc w:val="left"/>
              <w:rPr>
                <w:rFonts w:asciiTheme="minorEastAsia" w:hAnsiTheme="minorEastAsia" w:eastAsiaTheme="minorEastAsia"/>
                <w:sz w:val="24"/>
                <w:szCs w:val="24"/>
              </w:rPr>
            </w:pPr>
            <w:r>
              <w:rPr>
                <w:rFonts w:hint="eastAsia" w:asciiTheme="minorEastAsia" w:hAnsiTheme="minorEastAsia" w:eastAsiaTheme="minorEastAsia"/>
                <w:sz w:val="24"/>
                <w:szCs w:val="24"/>
              </w:rPr>
              <w:t>网卡</w:t>
            </w:r>
            <w:r>
              <w:rPr>
                <w:rFonts w:asciiTheme="minorEastAsia" w:hAnsiTheme="minorEastAsia" w:eastAsiaTheme="minorEastAsia"/>
                <w:sz w:val="24"/>
                <w:szCs w:val="24"/>
              </w:rPr>
              <w:t>：</w:t>
            </w:r>
            <w:r>
              <w:rPr>
                <w:rFonts w:hint="eastAsia" w:asciiTheme="minorEastAsia" w:hAnsiTheme="minorEastAsia" w:eastAsiaTheme="minorEastAsia"/>
                <w:sz w:val="24"/>
                <w:szCs w:val="24"/>
              </w:rPr>
              <w:t>1</w:t>
            </w:r>
            <w:r>
              <w:rPr>
                <w:rFonts w:asciiTheme="minorEastAsia" w:hAnsiTheme="minorEastAsia" w:eastAsiaTheme="minorEastAsia"/>
                <w:sz w:val="24"/>
                <w:szCs w:val="24"/>
              </w:rPr>
              <w:t>*千兆</w:t>
            </w:r>
            <w:r>
              <w:rPr>
                <w:rFonts w:hint="eastAsia" w:asciiTheme="minorEastAsia" w:hAnsiTheme="minorEastAsia" w:eastAsiaTheme="minorEastAsia"/>
                <w:sz w:val="24"/>
                <w:szCs w:val="24"/>
              </w:rPr>
              <w:t>4口</w:t>
            </w:r>
            <w:r>
              <w:rPr>
                <w:rFonts w:asciiTheme="minorEastAsia" w:hAnsiTheme="minorEastAsia" w:eastAsiaTheme="minorEastAsia"/>
                <w:sz w:val="24"/>
                <w:szCs w:val="24"/>
              </w:rPr>
              <w:t>，</w:t>
            </w:r>
            <w:r>
              <w:rPr>
                <w:rFonts w:hint="eastAsia" w:asciiTheme="minorEastAsia" w:hAnsiTheme="minorEastAsia" w:eastAsiaTheme="minorEastAsia"/>
                <w:sz w:val="24"/>
                <w:szCs w:val="24"/>
              </w:rPr>
              <w:t>2</w:t>
            </w:r>
            <w:r>
              <w:rPr>
                <w:rFonts w:asciiTheme="minorEastAsia" w:hAnsiTheme="minorEastAsia" w:eastAsiaTheme="minorEastAsia"/>
                <w:sz w:val="24"/>
                <w:szCs w:val="24"/>
              </w:rPr>
              <w:t>*万兆</w:t>
            </w:r>
            <w:r>
              <w:rPr>
                <w:rFonts w:hint="eastAsia" w:asciiTheme="minorEastAsia" w:hAnsiTheme="minorEastAsia" w:eastAsiaTheme="minorEastAsia"/>
                <w:sz w:val="24"/>
                <w:szCs w:val="24"/>
              </w:rPr>
              <w:t>2口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7" w:type="dxa"/>
          </w:tcPr>
          <w:p>
            <w:pPr>
              <w:pStyle w:val="129"/>
              <w:ind w:left="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asciiTheme="minorEastAsia" w:hAnsiTheme="minorEastAsia" w:eastAsiaTheme="minorEastAsia"/>
                <w:sz w:val="24"/>
                <w:szCs w:val="24"/>
              </w:rPr>
              <w:t>。。</w:t>
            </w:r>
          </w:p>
        </w:tc>
        <w:tc>
          <w:tcPr>
            <w:tcW w:w="1428" w:type="dxa"/>
          </w:tcPr>
          <w:p>
            <w:pPr>
              <w:pStyle w:val="129"/>
              <w:ind w:left="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asciiTheme="minorEastAsia" w:hAnsiTheme="minorEastAsia" w:eastAsiaTheme="minorEastAsia"/>
                <w:sz w:val="24"/>
                <w:szCs w:val="24"/>
              </w:rPr>
              <w:t>。。</w:t>
            </w:r>
          </w:p>
        </w:tc>
        <w:tc>
          <w:tcPr>
            <w:tcW w:w="1571" w:type="dxa"/>
          </w:tcPr>
          <w:p>
            <w:pPr>
              <w:pStyle w:val="129"/>
              <w:ind w:left="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asciiTheme="minorEastAsia" w:hAnsiTheme="minorEastAsia" w:eastAsiaTheme="minorEastAsia"/>
                <w:sz w:val="24"/>
                <w:szCs w:val="24"/>
              </w:rPr>
              <w:t>。。</w:t>
            </w:r>
          </w:p>
        </w:tc>
        <w:tc>
          <w:tcPr>
            <w:tcW w:w="3929" w:type="dxa"/>
          </w:tcPr>
          <w:p>
            <w:pPr>
              <w:pStyle w:val="129"/>
              <w:ind w:left="0" w:firstLine="0" w:firstLineChars="0"/>
              <w:rPr>
                <w:rFonts w:asciiTheme="minorEastAsia" w:hAnsiTheme="minorEastAsia" w:eastAsiaTheme="minorEastAsia"/>
                <w:sz w:val="24"/>
                <w:szCs w:val="24"/>
              </w:rPr>
            </w:pPr>
            <w:r>
              <w:rPr>
                <w:rFonts w:hint="eastAsia" w:asciiTheme="minorEastAsia" w:hAnsiTheme="minorEastAsia" w:eastAsiaTheme="minorEastAsia"/>
                <w:sz w:val="24"/>
                <w:szCs w:val="24"/>
              </w:rPr>
              <w:t>。</w:t>
            </w:r>
            <w:r>
              <w:rPr>
                <w:rFonts w:asciiTheme="minorEastAsia" w:hAnsiTheme="minorEastAsia" w:eastAsiaTheme="minorEastAsia"/>
                <w:sz w:val="24"/>
                <w:szCs w:val="24"/>
              </w:rPr>
              <w:t>。。</w:t>
            </w:r>
          </w:p>
        </w:tc>
      </w:tr>
    </w:tbl>
    <w:p>
      <w:pPr>
        <w:pStyle w:val="5"/>
        <w:rPr>
          <w:sz w:val="24"/>
          <w:szCs w:val="24"/>
        </w:rPr>
      </w:pPr>
      <w:bookmarkStart w:id="81" w:name="_Toc54343113"/>
      <w:r>
        <w:rPr>
          <w:rFonts w:hint="eastAsia"/>
          <w:sz w:val="24"/>
          <w:szCs w:val="24"/>
        </w:rPr>
        <w:t>软件部署</w:t>
      </w:r>
      <w:bookmarkEnd w:id="81"/>
    </w:p>
    <w:p>
      <w:pPr>
        <w:spacing w:line="360" w:lineRule="auto"/>
        <w:ind w:left="0" w:firstLine="420"/>
        <w:rPr>
          <w:sz w:val="24"/>
          <w:szCs w:val="24"/>
        </w:rPr>
      </w:pPr>
      <w:r>
        <w:rPr>
          <w:rFonts w:hint="eastAsia"/>
          <w:sz w:val="24"/>
          <w:szCs w:val="24"/>
        </w:rPr>
        <w:t>根据</w:t>
      </w:r>
      <w:r>
        <w:rPr>
          <w:sz w:val="24"/>
          <w:szCs w:val="24"/>
        </w:rPr>
        <w:t>超融合</w:t>
      </w:r>
      <w:r>
        <w:rPr>
          <w:rFonts w:hint="eastAsia"/>
          <w:sz w:val="24"/>
          <w:szCs w:val="24"/>
        </w:rPr>
        <w:t>软件</w:t>
      </w:r>
      <w:r>
        <w:rPr>
          <w:sz w:val="24"/>
          <w:szCs w:val="24"/>
        </w:rPr>
        <w:t>的需求，进行</w:t>
      </w:r>
      <w:r>
        <w:rPr>
          <w:rFonts w:hint="eastAsia"/>
          <w:sz w:val="24"/>
          <w:szCs w:val="24"/>
        </w:rPr>
        <w:t>镜像</w:t>
      </w:r>
      <w:r>
        <w:rPr>
          <w:sz w:val="24"/>
          <w:szCs w:val="24"/>
        </w:rPr>
        <w:t>安装、集群部署、组件部署等</w:t>
      </w:r>
      <w:r>
        <w:rPr>
          <w:rFonts w:hint="eastAsia"/>
          <w:sz w:val="24"/>
          <w:szCs w:val="24"/>
        </w:rPr>
        <w:t>环节</w:t>
      </w:r>
      <w:r>
        <w:rPr>
          <w:sz w:val="24"/>
          <w:szCs w:val="24"/>
        </w:rPr>
        <w:t>。</w:t>
      </w:r>
      <w:r>
        <w:rPr>
          <w:rFonts w:hint="eastAsia"/>
          <w:sz w:val="24"/>
          <w:szCs w:val="24"/>
        </w:rPr>
        <w:t>完成</w:t>
      </w:r>
      <w:r>
        <w:rPr>
          <w:sz w:val="24"/>
          <w:szCs w:val="24"/>
        </w:rPr>
        <w:t>部署</w:t>
      </w:r>
      <w:r>
        <w:rPr>
          <w:rFonts w:hint="eastAsia"/>
          <w:sz w:val="24"/>
          <w:szCs w:val="24"/>
        </w:rPr>
        <w:t>后</w:t>
      </w:r>
      <w:r>
        <w:rPr>
          <w:sz w:val="24"/>
          <w:szCs w:val="24"/>
        </w:rPr>
        <w:t>，</w:t>
      </w:r>
      <w:r>
        <w:rPr>
          <w:rFonts w:hint="eastAsia"/>
          <w:sz w:val="24"/>
          <w:szCs w:val="24"/>
        </w:rPr>
        <w:t>进行</w:t>
      </w:r>
      <w:r>
        <w:rPr>
          <w:sz w:val="24"/>
          <w:szCs w:val="24"/>
        </w:rPr>
        <w:t>整体检查，例如一键巡检</w:t>
      </w:r>
      <w:r>
        <w:rPr>
          <w:rFonts w:hint="eastAsia"/>
          <w:sz w:val="24"/>
          <w:szCs w:val="24"/>
        </w:rPr>
        <w:t>等</w:t>
      </w:r>
      <w:r>
        <w:rPr>
          <w:sz w:val="24"/>
          <w:szCs w:val="24"/>
        </w:rPr>
        <w:t>功能，确认好集群的</w:t>
      </w:r>
      <w:r>
        <w:rPr>
          <w:rFonts w:hint="eastAsia"/>
          <w:sz w:val="24"/>
          <w:szCs w:val="24"/>
        </w:rPr>
        <w:t>健康</w:t>
      </w:r>
      <w:r>
        <w:rPr>
          <w:sz w:val="24"/>
          <w:szCs w:val="24"/>
        </w:rPr>
        <w:t>程度</w:t>
      </w:r>
      <w:r>
        <w:rPr>
          <w:rFonts w:hint="eastAsia"/>
          <w:sz w:val="24"/>
          <w:szCs w:val="24"/>
        </w:rPr>
        <w:t>进行</w:t>
      </w:r>
      <w:r>
        <w:rPr>
          <w:sz w:val="24"/>
          <w:szCs w:val="24"/>
        </w:rPr>
        <w:t>适当的业务测试</w:t>
      </w:r>
      <w:r>
        <w:rPr>
          <w:rFonts w:hint="eastAsia"/>
          <w:sz w:val="24"/>
          <w:szCs w:val="24"/>
        </w:rPr>
        <w:t>，</w:t>
      </w:r>
      <w:r>
        <w:rPr>
          <w:sz w:val="24"/>
          <w:szCs w:val="24"/>
        </w:rPr>
        <w:t>以确认数据中心的运行。</w:t>
      </w:r>
      <w:r>
        <w:rPr>
          <w:rFonts w:hint="eastAsia"/>
          <w:sz w:val="24"/>
          <w:szCs w:val="24"/>
        </w:rPr>
        <w:t>条件</w:t>
      </w:r>
      <w:r>
        <w:rPr>
          <w:sz w:val="24"/>
          <w:szCs w:val="24"/>
        </w:rPr>
        <w:t>许可下，要进行</w:t>
      </w:r>
      <w:r>
        <w:rPr>
          <w:rFonts w:hint="eastAsia"/>
          <w:sz w:val="24"/>
          <w:szCs w:val="24"/>
        </w:rPr>
        <w:t>一段时间</w:t>
      </w:r>
      <w:r>
        <w:rPr>
          <w:sz w:val="24"/>
          <w:szCs w:val="24"/>
        </w:rPr>
        <w:t>的试运行。</w:t>
      </w:r>
    </w:p>
    <w:p>
      <w:pPr>
        <w:spacing w:line="360" w:lineRule="auto"/>
        <w:ind w:left="0"/>
        <w:rPr>
          <w:sz w:val="24"/>
          <w:szCs w:val="24"/>
        </w:rPr>
      </w:pPr>
    </w:p>
    <w:p>
      <w:pPr>
        <w:pStyle w:val="5"/>
        <w:spacing w:line="360" w:lineRule="auto"/>
        <w:rPr>
          <w:sz w:val="24"/>
          <w:szCs w:val="24"/>
        </w:rPr>
      </w:pPr>
      <w:bookmarkStart w:id="82" w:name="_Toc86846734"/>
      <w:r>
        <w:rPr>
          <w:rFonts w:hint="eastAsia"/>
          <w:sz w:val="24"/>
          <w:szCs w:val="24"/>
        </w:rPr>
        <w:t>设备配置规划</w:t>
      </w:r>
      <w:bookmarkEnd w:id="82"/>
    </w:p>
    <w:p>
      <w:pPr>
        <w:pStyle w:val="6"/>
        <w:spacing w:line="360" w:lineRule="auto"/>
        <w:rPr>
          <w:szCs w:val="24"/>
        </w:rPr>
      </w:pPr>
      <w:bookmarkStart w:id="83" w:name="_Toc86846735"/>
      <w:r>
        <w:rPr>
          <w:rFonts w:hint="eastAsia"/>
          <w:szCs w:val="24"/>
        </w:rPr>
        <w:t>服务器建设情况</w:t>
      </w:r>
      <w:bookmarkEnd w:id="83"/>
    </w:p>
    <w:p>
      <w:pPr>
        <w:spacing w:line="360" w:lineRule="auto"/>
        <w:ind w:left="0"/>
        <w:rPr>
          <w:sz w:val="24"/>
          <w:szCs w:val="24"/>
        </w:rPr>
      </w:pPr>
      <w:r>
        <w:rPr>
          <w:sz w:val="24"/>
          <w:szCs w:val="24"/>
        </w:rPr>
        <w:t>本期服务器建设</w:t>
      </w:r>
      <w:r>
        <w:rPr>
          <w:rFonts w:hint="eastAsia"/>
          <w:sz w:val="24"/>
          <w:szCs w:val="24"/>
        </w:rPr>
        <w:t>规模</w:t>
      </w:r>
      <w:r>
        <w:rPr>
          <w:sz w:val="24"/>
          <w:szCs w:val="24"/>
        </w:rPr>
        <w:t>如下</w:t>
      </w:r>
      <w:r>
        <w:rPr>
          <w:rFonts w:hint="eastAsia"/>
          <w:sz w:val="24"/>
          <w:szCs w:val="24"/>
        </w:rPr>
        <w:t>：X86计算服务器4台。</w:t>
      </w:r>
    </w:p>
    <w:p>
      <w:pPr>
        <w:pStyle w:val="6"/>
        <w:spacing w:line="360" w:lineRule="auto"/>
        <w:rPr>
          <w:szCs w:val="24"/>
        </w:rPr>
      </w:pPr>
      <w:bookmarkStart w:id="84" w:name="_Toc86846736"/>
      <w:r>
        <w:rPr>
          <w:rFonts w:hint="eastAsia"/>
          <w:szCs w:val="24"/>
        </w:rPr>
        <w:t>网络设备建设情况</w:t>
      </w:r>
      <w:bookmarkEnd w:id="84"/>
    </w:p>
    <w:p>
      <w:pPr>
        <w:spacing w:line="360" w:lineRule="auto"/>
        <w:ind w:left="0"/>
        <w:rPr>
          <w:sz w:val="24"/>
          <w:szCs w:val="24"/>
        </w:rPr>
      </w:pPr>
      <w:r>
        <w:rPr>
          <w:sz w:val="24"/>
          <w:szCs w:val="24"/>
        </w:rPr>
        <w:t>本期网络设备建设规模如下</w:t>
      </w:r>
      <w:r>
        <w:rPr>
          <w:rFonts w:hint="eastAsia"/>
          <w:sz w:val="24"/>
          <w:szCs w:val="24"/>
        </w:rPr>
        <w:t>：</w:t>
      </w:r>
    </w:p>
    <w:tbl>
      <w:tblPr>
        <w:tblStyle w:val="34"/>
        <w:tblW w:w="457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490"/>
        <w:gridCol w:w="5451"/>
        <w:gridCol w:w="1071"/>
        <w:gridCol w:w="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5" w:hRule="atLeast"/>
        </w:trPr>
        <w:tc>
          <w:tcPr>
            <w:tcW w:w="842" w:type="pct"/>
            <w:shd w:val="clear" w:color="auto" w:fill="5B9BD5"/>
            <w:tcMar>
              <w:top w:w="15" w:type="dxa"/>
              <w:left w:w="15" w:type="dxa"/>
              <w:bottom w:w="0" w:type="dxa"/>
              <w:right w:w="15" w:type="dxa"/>
            </w:tcMar>
            <w:vAlign w:val="center"/>
          </w:tcPr>
          <w:p>
            <w:pPr>
              <w:spacing w:line="360" w:lineRule="auto"/>
              <w:ind w:left="0"/>
              <w:rPr>
                <w:sz w:val="24"/>
                <w:szCs w:val="24"/>
              </w:rPr>
            </w:pPr>
            <w:r>
              <w:rPr>
                <w:rFonts w:hint="eastAsia"/>
                <w:b/>
                <w:bCs/>
                <w:sz w:val="24"/>
                <w:szCs w:val="24"/>
              </w:rPr>
              <w:t>设备分类</w:t>
            </w:r>
          </w:p>
        </w:tc>
        <w:tc>
          <w:tcPr>
            <w:tcW w:w="3080" w:type="pct"/>
            <w:shd w:val="clear" w:color="auto" w:fill="5B9BD5"/>
            <w:tcMar>
              <w:top w:w="15" w:type="dxa"/>
              <w:left w:w="15" w:type="dxa"/>
              <w:bottom w:w="0" w:type="dxa"/>
              <w:right w:w="15" w:type="dxa"/>
            </w:tcMar>
            <w:vAlign w:val="center"/>
          </w:tcPr>
          <w:p>
            <w:pPr>
              <w:spacing w:line="360" w:lineRule="auto"/>
              <w:ind w:left="0"/>
              <w:rPr>
                <w:sz w:val="24"/>
                <w:szCs w:val="24"/>
              </w:rPr>
            </w:pPr>
            <w:r>
              <w:rPr>
                <w:rFonts w:hint="eastAsia"/>
                <w:b/>
                <w:bCs/>
                <w:sz w:val="24"/>
                <w:szCs w:val="24"/>
              </w:rPr>
              <w:t>设备名称</w:t>
            </w:r>
          </w:p>
        </w:tc>
        <w:tc>
          <w:tcPr>
            <w:tcW w:w="605" w:type="pct"/>
            <w:shd w:val="clear" w:color="auto" w:fill="5B9BD5"/>
            <w:tcMar>
              <w:top w:w="15" w:type="dxa"/>
              <w:left w:w="15" w:type="dxa"/>
              <w:bottom w:w="0" w:type="dxa"/>
              <w:right w:w="15" w:type="dxa"/>
            </w:tcMar>
            <w:vAlign w:val="center"/>
          </w:tcPr>
          <w:p>
            <w:pPr>
              <w:spacing w:line="360" w:lineRule="auto"/>
              <w:ind w:left="0"/>
              <w:rPr>
                <w:sz w:val="24"/>
                <w:szCs w:val="24"/>
              </w:rPr>
            </w:pPr>
            <w:r>
              <w:rPr>
                <w:rFonts w:hint="eastAsia"/>
                <w:b/>
                <w:bCs/>
                <w:sz w:val="24"/>
                <w:szCs w:val="24"/>
              </w:rPr>
              <w:t>单位</w:t>
            </w:r>
          </w:p>
        </w:tc>
        <w:tc>
          <w:tcPr>
            <w:tcW w:w="473" w:type="pct"/>
            <w:shd w:val="clear" w:color="auto" w:fill="5B9BD5"/>
            <w:tcMar>
              <w:top w:w="15" w:type="dxa"/>
              <w:left w:w="15" w:type="dxa"/>
              <w:bottom w:w="0" w:type="dxa"/>
              <w:right w:w="15" w:type="dxa"/>
            </w:tcMar>
            <w:vAlign w:val="center"/>
          </w:tcPr>
          <w:p>
            <w:pPr>
              <w:spacing w:line="360" w:lineRule="auto"/>
              <w:ind w:left="0"/>
              <w:rPr>
                <w:sz w:val="24"/>
                <w:szCs w:val="24"/>
              </w:rPr>
            </w:pPr>
            <w:r>
              <w:rPr>
                <w:rFonts w:hint="eastAsia"/>
                <w:b/>
                <w:bCs/>
                <w:sz w:val="24"/>
                <w:szCs w:val="24"/>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9" w:hRule="atLeast"/>
        </w:trPr>
        <w:tc>
          <w:tcPr>
            <w:tcW w:w="842" w:type="pct"/>
            <w:vMerge w:val="restart"/>
            <w:shd w:val="clear" w:color="auto" w:fill="EAEFF7"/>
            <w:tcMar>
              <w:top w:w="15" w:type="dxa"/>
              <w:left w:w="15" w:type="dxa"/>
              <w:bottom w:w="0" w:type="dxa"/>
              <w:right w:w="15" w:type="dxa"/>
            </w:tcMar>
            <w:vAlign w:val="center"/>
          </w:tcPr>
          <w:p>
            <w:pPr>
              <w:spacing w:line="360" w:lineRule="auto"/>
              <w:ind w:left="0"/>
              <w:rPr>
                <w:sz w:val="24"/>
                <w:szCs w:val="24"/>
              </w:rPr>
            </w:pPr>
            <w:r>
              <w:rPr>
                <w:sz w:val="24"/>
                <w:szCs w:val="24"/>
              </w:rPr>
              <w:t>网络设备</w:t>
            </w:r>
          </w:p>
        </w:tc>
        <w:tc>
          <w:tcPr>
            <w:tcW w:w="3080" w:type="pct"/>
            <w:shd w:val="clear" w:color="auto" w:fill="EAEFF7"/>
            <w:tcMar>
              <w:top w:w="15" w:type="dxa"/>
              <w:left w:w="15" w:type="dxa"/>
              <w:bottom w:w="0" w:type="dxa"/>
              <w:right w:w="15" w:type="dxa"/>
            </w:tcMar>
            <w:vAlign w:val="center"/>
          </w:tcPr>
          <w:p>
            <w:pPr>
              <w:spacing w:line="360" w:lineRule="auto"/>
              <w:ind w:left="0"/>
              <w:rPr>
                <w:sz w:val="24"/>
                <w:szCs w:val="24"/>
              </w:rPr>
            </w:pPr>
            <w:r>
              <w:rPr>
                <w:rFonts w:hint="eastAsia"/>
                <w:sz w:val="24"/>
                <w:szCs w:val="24"/>
              </w:rPr>
              <w:t>业务接入交换机（万兆）</w:t>
            </w:r>
          </w:p>
        </w:tc>
        <w:tc>
          <w:tcPr>
            <w:tcW w:w="605" w:type="pct"/>
            <w:shd w:val="clear" w:color="auto" w:fill="EAEFF7"/>
            <w:tcMar>
              <w:top w:w="15" w:type="dxa"/>
              <w:left w:w="15" w:type="dxa"/>
              <w:bottom w:w="0" w:type="dxa"/>
              <w:right w:w="15" w:type="dxa"/>
            </w:tcMar>
            <w:vAlign w:val="center"/>
          </w:tcPr>
          <w:p>
            <w:pPr>
              <w:spacing w:line="360" w:lineRule="auto"/>
              <w:ind w:left="0"/>
              <w:rPr>
                <w:sz w:val="24"/>
                <w:szCs w:val="24"/>
              </w:rPr>
            </w:pPr>
            <w:r>
              <w:rPr>
                <w:rFonts w:hint="eastAsia"/>
                <w:sz w:val="24"/>
                <w:szCs w:val="24"/>
              </w:rPr>
              <w:t>台</w:t>
            </w:r>
          </w:p>
        </w:tc>
        <w:tc>
          <w:tcPr>
            <w:tcW w:w="473" w:type="pct"/>
            <w:shd w:val="clear" w:color="auto" w:fill="EAEFF7"/>
            <w:tcMar>
              <w:top w:w="15" w:type="dxa"/>
              <w:left w:w="15" w:type="dxa"/>
              <w:bottom w:w="0" w:type="dxa"/>
              <w:right w:w="15" w:type="dxa"/>
            </w:tcMar>
            <w:vAlign w:val="center"/>
          </w:tcPr>
          <w:p>
            <w:pPr>
              <w:spacing w:line="360" w:lineRule="auto"/>
              <w:ind w:left="0"/>
              <w:rPr>
                <w:sz w:val="24"/>
                <w:szCs w:val="24"/>
              </w:rPr>
            </w:pPr>
            <w:r>
              <w:rPr>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9" w:hRule="atLeast"/>
        </w:trPr>
        <w:tc>
          <w:tcPr>
            <w:tcW w:w="842" w:type="pct"/>
            <w:vMerge w:val="continue"/>
            <w:shd w:val="clear" w:color="auto" w:fill="EAEFF7"/>
            <w:tcMar>
              <w:top w:w="15" w:type="dxa"/>
              <w:left w:w="15" w:type="dxa"/>
              <w:bottom w:w="0" w:type="dxa"/>
              <w:right w:w="15" w:type="dxa"/>
            </w:tcMar>
            <w:vAlign w:val="center"/>
          </w:tcPr>
          <w:p>
            <w:pPr>
              <w:spacing w:line="360" w:lineRule="auto"/>
              <w:ind w:left="0"/>
              <w:rPr>
                <w:sz w:val="24"/>
                <w:szCs w:val="24"/>
              </w:rPr>
            </w:pPr>
          </w:p>
        </w:tc>
        <w:tc>
          <w:tcPr>
            <w:tcW w:w="3080" w:type="pct"/>
            <w:shd w:val="clear" w:color="auto" w:fill="EAEFF7"/>
            <w:tcMar>
              <w:top w:w="15" w:type="dxa"/>
              <w:left w:w="15" w:type="dxa"/>
              <w:bottom w:w="0" w:type="dxa"/>
              <w:right w:w="15" w:type="dxa"/>
            </w:tcMar>
            <w:vAlign w:val="center"/>
          </w:tcPr>
          <w:p>
            <w:pPr>
              <w:spacing w:line="360" w:lineRule="auto"/>
              <w:ind w:left="0"/>
              <w:rPr>
                <w:sz w:val="24"/>
                <w:szCs w:val="24"/>
              </w:rPr>
            </w:pPr>
            <w:r>
              <w:rPr>
                <w:sz w:val="24"/>
                <w:szCs w:val="24"/>
              </w:rPr>
              <w:t>存储接入交换机</w:t>
            </w:r>
            <w:r>
              <w:rPr>
                <w:rFonts w:hint="eastAsia"/>
                <w:sz w:val="24"/>
                <w:szCs w:val="24"/>
              </w:rPr>
              <w:t>（万兆）</w:t>
            </w:r>
          </w:p>
        </w:tc>
        <w:tc>
          <w:tcPr>
            <w:tcW w:w="605" w:type="pct"/>
            <w:shd w:val="clear" w:color="auto" w:fill="EAEFF7"/>
            <w:tcMar>
              <w:top w:w="15" w:type="dxa"/>
              <w:left w:w="15" w:type="dxa"/>
              <w:bottom w:w="0" w:type="dxa"/>
              <w:right w:w="15" w:type="dxa"/>
            </w:tcMar>
            <w:vAlign w:val="center"/>
          </w:tcPr>
          <w:p>
            <w:pPr>
              <w:spacing w:line="360" w:lineRule="auto"/>
              <w:ind w:left="0"/>
              <w:rPr>
                <w:sz w:val="24"/>
                <w:szCs w:val="24"/>
              </w:rPr>
            </w:pPr>
            <w:r>
              <w:rPr>
                <w:rFonts w:hint="eastAsia"/>
                <w:sz w:val="24"/>
                <w:szCs w:val="24"/>
              </w:rPr>
              <w:t>台</w:t>
            </w:r>
          </w:p>
        </w:tc>
        <w:tc>
          <w:tcPr>
            <w:tcW w:w="473" w:type="pct"/>
            <w:shd w:val="clear" w:color="auto" w:fill="EAEFF7"/>
            <w:tcMar>
              <w:top w:w="15" w:type="dxa"/>
              <w:left w:w="15" w:type="dxa"/>
              <w:bottom w:w="0" w:type="dxa"/>
              <w:right w:w="15" w:type="dxa"/>
            </w:tcMar>
            <w:vAlign w:val="center"/>
          </w:tcPr>
          <w:p>
            <w:pPr>
              <w:spacing w:line="360" w:lineRule="auto"/>
              <w:ind w:left="0"/>
              <w:rPr>
                <w:sz w:val="24"/>
                <w:szCs w:val="24"/>
              </w:rPr>
            </w:pPr>
            <w:r>
              <w:rPr>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9" w:hRule="atLeast"/>
        </w:trPr>
        <w:tc>
          <w:tcPr>
            <w:tcW w:w="842" w:type="pct"/>
            <w:vMerge w:val="continue"/>
            <w:shd w:val="clear" w:color="auto" w:fill="EAEFF7"/>
            <w:tcMar>
              <w:top w:w="15" w:type="dxa"/>
              <w:left w:w="15" w:type="dxa"/>
              <w:bottom w:w="0" w:type="dxa"/>
              <w:right w:w="15" w:type="dxa"/>
            </w:tcMar>
            <w:vAlign w:val="center"/>
          </w:tcPr>
          <w:p>
            <w:pPr>
              <w:spacing w:line="360" w:lineRule="auto"/>
              <w:ind w:left="0"/>
              <w:rPr>
                <w:sz w:val="24"/>
                <w:szCs w:val="24"/>
              </w:rPr>
            </w:pPr>
          </w:p>
        </w:tc>
        <w:tc>
          <w:tcPr>
            <w:tcW w:w="3080" w:type="pct"/>
            <w:shd w:val="clear" w:color="auto" w:fill="EAEFF7"/>
            <w:tcMar>
              <w:top w:w="15" w:type="dxa"/>
              <w:left w:w="15" w:type="dxa"/>
              <w:bottom w:w="0" w:type="dxa"/>
              <w:right w:w="15" w:type="dxa"/>
            </w:tcMar>
            <w:vAlign w:val="center"/>
          </w:tcPr>
          <w:p>
            <w:pPr>
              <w:spacing w:line="360" w:lineRule="auto"/>
              <w:ind w:left="0"/>
              <w:rPr>
                <w:sz w:val="24"/>
                <w:szCs w:val="24"/>
              </w:rPr>
            </w:pPr>
            <w:r>
              <w:rPr>
                <w:rFonts w:hint="eastAsia"/>
                <w:sz w:val="24"/>
                <w:szCs w:val="24"/>
              </w:rPr>
              <w:t>设备</w:t>
            </w:r>
            <w:r>
              <w:rPr>
                <w:sz w:val="24"/>
                <w:szCs w:val="24"/>
              </w:rPr>
              <w:t>BMC</w:t>
            </w:r>
            <w:r>
              <w:rPr>
                <w:rFonts w:hint="eastAsia"/>
                <w:sz w:val="24"/>
                <w:szCs w:val="24"/>
              </w:rPr>
              <w:t>接入交换机（千兆）</w:t>
            </w:r>
          </w:p>
        </w:tc>
        <w:tc>
          <w:tcPr>
            <w:tcW w:w="605" w:type="pct"/>
            <w:shd w:val="clear" w:color="auto" w:fill="EAEFF7"/>
            <w:tcMar>
              <w:top w:w="15" w:type="dxa"/>
              <w:left w:w="15" w:type="dxa"/>
              <w:bottom w:w="0" w:type="dxa"/>
              <w:right w:w="15" w:type="dxa"/>
            </w:tcMar>
            <w:vAlign w:val="center"/>
          </w:tcPr>
          <w:p>
            <w:pPr>
              <w:spacing w:line="360" w:lineRule="auto"/>
              <w:ind w:left="0"/>
              <w:rPr>
                <w:sz w:val="24"/>
                <w:szCs w:val="24"/>
              </w:rPr>
            </w:pPr>
            <w:r>
              <w:rPr>
                <w:rFonts w:hint="eastAsia"/>
                <w:sz w:val="24"/>
                <w:szCs w:val="24"/>
              </w:rPr>
              <w:t>台</w:t>
            </w:r>
          </w:p>
        </w:tc>
        <w:tc>
          <w:tcPr>
            <w:tcW w:w="473" w:type="pct"/>
            <w:shd w:val="clear" w:color="auto" w:fill="EAEFF7"/>
            <w:tcMar>
              <w:top w:w="15" w:type="dxa"/>
              <w:left w:w="15" w:type="dxa"/>
              <w:bottom w:w="0" w:type="dxa"/>
              <w:right w:w="15" w:type="dxa"/>
            </w:tcMar>
            <w:vAlign w:val="center"/>
          </w:tcPr>
          <w:p>
            <w:pPr>
              <w:spacing w:line="360" w:lineRule="auto"/>
              <w:ind w:left="0"/>
              <w:rPr>
                <w:sz w:val="24"/>
                <w:szCs w:val="24"/>
              </w:rPr>
            </w:pPr>
            <w:r>
              <w:rPr>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9" w:hRule="atLeast"/>
        </w:trPr>
        <w:tc>
          <w:tcPr>
            <w:tcW w:w="842" w:type="pct"/>
            <w:vMerge w:val="continue"/>
            <w:shd w:val="clear" w:color="auto" w:fill="EAEFF7"/>
            <w:tcMar>
              <w:top w:w="15" w:type="dxa"/>
              <w:left w:w="15" w:type="dxa"/>
              <w:bottom w:w="0" w:type="dxa"/>
              <w:right w:w="15" w:type="dxa"/>
            </w:tcMar>
            <w:vAlign w:val="center"/>
          </w:tcPr>
          <w:p>
            <w:pPr>
              <w:spacing w:line="360" w:lineRule="auto"/>
              <w:ind w:left="0"/>
              <w:rPr>
                <w:sz w:val="24"/>
                <w:szCs w:val="24"/>
              </w:rPr>
            </w:pPr>
          </w:p>
        </w:tc>
        <w:tc>
          <w:tcPr>
            <w:tcW w:w="3080" w:type="pct"/>
            <w:shd w:val="clear" w:color="auto" w:fill="EAEFF7"/>
            <w:tcMar>
              <w:top w:w="15" w:type="dxa"/>
              <w:left w:w="15" w:type="dxa"/>
              <w:bottom w:w="0" w:type="dxa"/>
              <w:right w:w="15" w:type="dxa"/>
            </w:tcMar>
            <w:vAlign w:val="center"/>
          </w:tcPr>
          <w:p>
            <w:pPr>
              <w:spacing w:line="360" w:lineRule="auto"/>
              <w:ind w:left="0"/>
              <w:rPr>
                <w:sz w:val="24"/>
                <w:szCs w:val="24"/>
              </w:rPr>
            </w:pPr>
            <w:r>
              <w:rPr>
                <w:sz w:val="24"/>
                <w:szCs w:val="24"/>
              </w:rPr>
              <w:t>业务核心交换机</w:t>
            </w:r>
          </w:p>
        </w:tc>
        <w:tc>
          <w:tcPr>
            <w:tcW w:w="605" w:type="pct"/>
            <w:shd w:val="clear" w:color="auto" w:fill="EAEFF7"/>
            <w:tcMar>
              <w:top w:w="15" w:type="dxa"/>
              <w:left w:w="15" w:type="dxa"/>
              <w:bottom w:w="0" w:type="dxa"/>
              <w:right w:w="15" w:type="dxa"/>
            </w:tcMar>
            <w:vAlign w:val="center"/>
          </w:tcPr>
          <w:p>
            <w:pPr>
              <w:spacing w:line="360" w:lineRule="auto"/>
              <w:ind w:left="0"/>
              <w:rPr>
                <w:sz w:val="24"/>
                <w:szCs w:val="24"/>
              </w:rPr>
            </w:pPr>
            <w:r>
              <w:rPr>
                <w:rFonts w:hint="eastAsia"/>
                <w:sz w:val="24"/>
                <w:szCs w:val="24"/>
              </w:rPr>
              <w:t>台</w:t>
            </w:r>
          </w:p>
        </w:tc>
        <w:tc>
          <w:tcPr>
            <w:tcW w:w="473" w:type="pct"/>
            <w:shd w:val="clear" w:color="auto" w:fill="EAEFF7"/>
            <w:tcMar>
              <w:top w:w="15" w:type="dxa"/>
              <w:left w:w="15" w:type="dxa"/>
              <w:bottom w:w="0" w:type="dxa"/>
              <w:right w:w="15" w:type="dxa"/>
            </w:tcMar>
            <w:vAlign w:val="center"/>
          </w:tcPr>
          <w:p>
            <w:pPr>
              <w:spacing w:line="360" w:lineRule="auto"/>
              <w:ind w:left="0"/>
              <w:rPr>
                <w:sz w:val="24"/>
                <w:szCs w:val="24"/>
              </w:rPr>
            </w:pPr>
            <w:r>
              <w:rPr>
                <w:rFonts w:hint="eastAsia"/>
                <w:sz w:val="24"/>
                <w:szCs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9" w:hRule="atLeast"/>
        </w:trPr>
        <w:tc>
          <w:tcPr>
            <w:tcW w:w="842" w:type="pct"/>
            <w:shd w:val="clear" w:color="auto" w:fill="EAEFF7"/>
            <w:tcMar>
              <w:top w:w="15" w:type="dxa"/>
              <w:left w:w="15" w:type="dxa"/>
              <w:bottom w:w="0" w:type="dxa"/>
              <w:right w:w="15" w:type="dxa"/>
            </w:tcMar>
            <w:vAlign w:val="center"/>
          </w:tcPr>
          <w:p>
            <w:pPr>
              <w:spacing w:line="360" w:lineRule="auto"/>
              <w:ind w:left="0"/>
              <w:rPr>
                <w:sz w:val="24"/>
                <w:szCs w:val="24"/>
              </w:rPr>
            </w:pPr>
            <w:r>
              <w:rPr>
                <w:rFonts w:hint="eastAsia"/>
                <w:sz w:val="24"/>
                <w:szCs w:val="24"/>
              </w:rPr>
              <w:t>安全设备</w:t>
            </w:r>
          </w:p>
        </w:tc>
        <w:tc>
          <w:tcPr>
            <w:tcW w:w="3080" w:type="pct"/>
            <w:shd w:val="clear" w:color="auto" w:fill="EAEFF7"/>
            <w:tcMar>
              <w:top w:w="15" w:type="dxa"/>
              <w:left w:w="15" w:type="dxa"/>
              <w:bottom w:w="0" w:type="dxa"/>
              <w:right w:w="15" w:type="dxa"/>
            </w:tcMar>
            <w:vAlign w:val="center"/>
          </w:tcPr>
          <w:p>
            <w:pPr>
              <w:spacing w:line="360" w:lineRule="auto"/>
              <w:ind w:left="0"/>
              <w:rPr>
                <w:sz w:val="24"/>
                <w:szCs w:val="24"/>
              </w:rPr>
            </w:pPr>
            <w:r>
              <w:rPr>
                <w:rFonts w:hint="eastAsia"/>
                <w:sz w:val="24"/>
                <w:szCs w:val="24"/>
              </w:rPr>
              <w:t>出口防火墙</w:t>
            </w:r>
          </w:p>
        </w:tc>
        <w:tc>
          <w:tcPr>
            <w:tcW w:w="605" w:type="pct"/>
            <w:shd w:val="clear" w:color="auto" w:fill="EAEFF7"/>
            <w:tcMar>
              <w:top w:w="15" w:type="dxa"/>
              <w:left w:w="15" w:type="dxa"/>
              <w:bottom w:w="0" w:type="dxa"/>
              <w:right w:w="15" w:type="dxa"/>
            </w:tcMar>
            <w:vAlign w:val="center"/>
          </w:tcPr>
          <w:p>
            <w:pPr>
              <w:spacing w:line="360" w:lineRule="auto"/>
              <w:ind w:left="0"/>
              <w:rPr>
                <w:sz w:val="24"/>
                <w:szCs w:val="24"/>
              </w:rPr>
            </w:pPr>
            <w:r>
              <w:rPr>
                <w:rFonts w:hint="eastAsia"/>
                <w:sz w:val="24"/>
                <w:szCs w:val="24"/>
              </w:rPr>
              <w:t>台</w:t>
            </w:r>
          </w:p>
        </w:tc>
        <w:tc>
          <w:tcPr>
            <w:tcW w:w="473" w:type="pct"/>
            <w:shd w:val="clear" w:color="auto" w:fill="EAEFF7"/>
            <w:tcMar>
              <w:top w:w="15" w:type="dxa"/>
              <w:left w:w="15" w:type="dxa"/>
              <w:bottom w:w="0" w:type="dxa"/>
              <w:right w:w="15" w:type="dxa"/>
            </w:tcMar>
            <w:vAlign w:val="center"/>
          </w:tcPr>
          <w:p>
            <w:pPr>
              <w:spacing w:line="360" w:lineRule="auto"/>
              <w:ind w:left="0"/>
              <w:rPr>
                <w:sz w:val="24"/>
                <w:szCs w:val="24"/>
              </w:rPr>
            </w:pPr>
            <w:r>
              <w:rPr>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4527" w:type="pct"/>
            <w:gridSpan w:val="3"/>
            <w:shd w:val="clear" w:color="auto" w:fill="92D050"/>
            <w:tcMar>
              <w:top w:w="15" w:type="dxa"/>
              <w:left w:w="15" w:type="dxa"/>
              <w:bottom w:w="0" w:type="dxa"/>
              <w:right w:w="15" w:type="dxa"/>
            </w:tcMar>
            <w:vAlign w:val="center"/>
          </w:tcPr>
          <w:p>
            <w:pPr>
              <w:spacing w:line="360" w:lineRule="auto"/>
              <w:ind w:left="0"/>
              <w:rPr>
                <w:sz w:val="24"/>
                <w:szCs w:val="24"/>
              </w:rPr>
            </w:pPr>
            <w:r>
              <w:rPr>
                <w:rFonts w:hint="eastAsia"/>
                <w:b/>
                <w:bCs/>
                <w:sz w:val="24"/>
                <w:szCs w:val="24"/>
              </w:rPr>
              <w:t>合计</w:t>
            </w:r>
          </w:p>
        </w:tc>
        <w:tc>
          <w:tcPr>
            <w:tcW w:w="473" w:type="pct"/>
            <w:shd w:val="clear" w:color="auto" w:fill="92D050"/>
            <w:tcMar>
              <w:top w:w="15" w:type="dxa"/>
              <w:left w:w="15" w:type="dxa"/>
              <w:bottom w:w="0" w:type="dxa"/>
              <w:right w:w="15" w:type="dxa"/>
            </w:tcMar>
            <w:vAlign w:val="center"/>
          </w:tcPr>
          <w:p>
            <w:pPr>
              <w:spacing w:line="360" w:lineRule="auto"/>
              <w:ind w:left="0"/>
              <w:rPr>
                <w:sz w:val="24"/>
                <w:szCs w:val="24"/>
              </w:rPr>
            </w:pPr>
            <w:r>
              <w:rPr>
                <w:b/>
                <w:bCs/>
                <w:sz w:val="24"/>
                <w:szCs w:val="24"/>
              </w:rPr>
              <w:t>8</w:t>
            </w:r>
          </w:p>
        </w:tc>
      </w:tr>
    </w:tbl>
    <w:p>
      <w:pPr>
        <w:pStyle w:val="5"/>
        <w:spacing w:line="360" w:lineRule="auto"/>
        <w:rPr>
          <w:rFonts w:ascii="微软雅黑" w:hAnsi="微软雅黑" w:eastAsia="微软雅黑"/>
          <w:sz w:val="24"/>
          <w:szCs w:val="24"/>
        </w:rPr>
      </w:pPr>
      <w:bookmarkStart w:id="85" w:name="_Toc86846746"/>
      <w:r>
        <w:rPr>
          <w:rFonts w:hint="eastAsia" w:ascii="微软雅黑" w:hAnsi="微软雅黑" w:eastAsia="微软雅黑"/>
          <w:sz w:val="24"/>
          <w:szCs w:val="24"/>
        </w:rPr>
        <w:t>设备基础信息规划</w:t>
      </w:r>
      <w:bookmarkEnd w:id="85"/>
    </w:p>
    <w:p>
      <w:pPr>
        <w:spacing w:line="360" w:lineRule="auto"/>
        <w:ind w:left="0" w:firstLine="420"/>
        <w:rPr>
          <w:sz w:val="24"/>
          <w:szCs w:val="24"/>
        </w:rPr>
      </w:pPr>
      <w:r>
        <w:rPr>
          <w:rFonts w:hint="eastAsia"/>
          <w:sz w:val="24"/>
          <w:szCs w:val="24"/>
        </w:rPr>
        <w:t>(1) 网元设备在全网范围内命名唯一；</w:t>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p>
    <w:p>
      <w:pPr>
        <w:spacing w:line="360" w:lineRule="auto"/>
        <w:ind w:left="0" w:firstLine="420"/>
        <w:rPr>
          <w:sz w:val="24"/>
          <w:szCs w:val="24"/>
        </w:rPr>
      </w:pPr>
      <w:r>
        <w:rPr>
          <w:rFonts w:hint="eastAsia"/>
          <w:sz w:val="24"/>
          <w:szCs w:val="24"/>
        </w:rPr>
        <w:t>(2) 能表示出网元设备物理位置；</w:t>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p>
    <w:p>
      <w:pPr>
        <w:spacing w:line="360" w:lineRule="auto"/>
        <w:ind w:left="0" w:firstLine="420"/>
        <w:rPr>
          <w:sz w:val="24"/>
          <w:szCs w:val="24"/>
        </w:rPr>
      </w:pPr>
      <w:r>
        <w:rPr>
          <w:rFonts w:hint="eastAsia"/>
          <w:sz w:val="24"/>
          <w:szCs w:val="24"/>
        </w:rPr>
        <w:t>(3) 能表示出网元设备所处网络层次；</w:t>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p>
    <w:p>
      <w:pPr>
        <w:spacing w:line="360" w:lineRule="auto"/>
        <w:ind w:left="0" w:firstLine="420"/>
        <w:rPr>
          <w:sz w:val="24"/>
          <w:szCs w:val="24"/>
        </w:rPr>
      </w:pPr>
      <w:r>
        <w:rPr>
          <w:rFonts w:hint="eastAsia"/>
          <w:sz w:val="24"/>
          <w:szCs w:val="24"/>
        </w:rPr>
        <w:t>(4) 能表示出网元设备业务系统分类；</w:t>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p>
    <w:p>
      <w:pPr>
        <w:spacing w:line="360" w:lineRule="auto"/>
        <w:ind w:left="0" w:firstLine="420"/>
        <w:rPr>
          <w:sz w:val="24"/>
          <w:szCs w:val="24"/>
        </w:rPr>
      </w:pPr>
      <w:r>
        <w:rPr>
          <w:rFonts w:hint="eastAsia"/>
          <w:sz w:val="24"/>
          <w:szCs w:val="24"/>
        </w:rPr>
        <w:t>(5) 能表示出网元设备网元功能；</w:t>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p>
    <w:p>
      <w:pPr>
        <w:spacing w:line="360" w:lineRule="auto"/>
        <w:ind w:left="0" w:firstLine="420"/>
        <w:rPr>
          <w:sz w:val="24"/>
          <w:szCs w:val="24"/>
        </w:rPr>
      </w:pPr>
      <w:r>
        <w:rPr>
          <w:rFonts w:hint="eastAsia"/>
          <w:sz w:val="24"/>
          <w:szCs w:val="24"/>
        </w:rPr>
        <w:t>(6) 能表示出网元设备类型；</w:t>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p>
    <w:tbl>
      <w:tblPr>
        <w:tblStyle w:val="34"/>
        <w:tblpPr w:leftFromText="180" w:rightFromText="180" w:vertAnchor="text" w:horzAnchor="margin" w:tblpY="32"/>
        <w:tblW w:w="8812" w:type="dxa"/>
        <w:tblInd w:w="0" w:type="dxa"/>
        <w:tblLayout w:type="fixed"/>
        <w:tblCellMar>
          <w:top w:w="0" w:type="dxa"/>
          <w:left w:w="108" w:type="dxa"/>
          <w:bottom w:w="0" w:type="dxa"/>
          <w:right w:w="108" w:type="dxa"/>
        </w:tblCellMar>
      </w:tblPr>
      <w:tblGrid>
        <w:gridCol w:w="168"/>
        <w:gridCol w:w="498"/>
        <w:gridCol w:w="742"/>
        <w:gridCol w:w="405"/>
        <w:gridCol w:w="689"/>
        <w:gridCol w:w="415"/>
        <w:gridCol w:w="811"/>
        <w:gridCol w:w="415"/>
        <w:gridCol w:w="840"/>
        <w:gridCol w:w="416"/>
        <w:gridCol w:w="770"/>
        <w:gridCol w:w="455"/>
        <w:gridCol w:w="869"/>
        <w:gridCol w:w="621"/>
        <w:gridCol w:w="248"/>
        <w:gridCol w:w="450"/>
      </w:tblGrid>
      <w:tr>
        <w:tblPrEx>
          <w:tblCellMar>
            <w:top w:w="0" w:type="dxa"/>
            <w:left w:w="108" w:type="dxa"/>
            <w:bottom w:w="0" w:type="dxa"/>
            <w:right w:w="108" w:type="dxa"/>
          </w:tblCellMar>
        </w:tblPrEx>
        <w:trPr>
          <w:gridBefore w:val="1"/>
          <w:wBefore w:w="168" w:type="dxa"/>
          <w:trHeight w:val="310" w:hRule="atLeast"/>
        </w:trPr>
        <w:tc>
          <w:tcPr>
            <w:tcW w:w="6001" w:type="dxa"/>
            <w:gridSpan w:val="10"/>
            <w:tcBorders>
              <w:top w:val="nil"/>
              <w:left w:val="nil"/>
              <w:bottom w:val="nil"/>
              <w:right w:val="nil"/>
            </w:tcBorders>
            <w:noWrap/>
            <w:vAlign w:val="center"/>
          </w:tcPr>
          <w:p>
            <w:pPr>
              <w:spacing w:line="360" w:lineRule="auto"/>
              <w:ind w:left="0"/>
              <w:rPr>
                <w:sz w:val="24"/>
                <w:szCs w:val="24"/>
              </w:rPr>
            </w:pPr>
            <w:r>
              <w:rPr>
                <w:rFonts w:hint="eastAsia"/>
                <w:sz w:val="24"/>
                <w:szCs w:val="24"/>
              </w:rPr>
              <w:t>边缘云网元设备的命名遵照如下格式：</w:t>
            </w:r>
          </w:p>
        </w:tc>
        <w:tc>
          <w:tcPr>
            <w:tcW w:w="455" w:type="dxa"/>
            <w:tcBorders>
              <w:top w:val="nil"/>
              <w:left w:val="nil"/>
              <w:bottom w:val="nil"/>
              <w:right w:val="nil"/>
            </w:tcBorders>
          </w:tcPr>
          <w:p>
            <w:pPr>
              <w:spacing w:line="360" w:lineRule="auto"/>
              <w:ind w:left="0" w:firstLine="420"/>
              <w:rPr>
                <w:sz w:val="24"/>
                <w:szCs w:val="24"/>
              </w:rPr>
            </w:pPr>
          </w:p>
        </w:tc>
        <w:tc>
          <w:tcPr>
            <w:tcW w:w="869" w:type="dxa"/>
            <w:tcBorders>
              <w:top w:val="nil"/>
              <w:left w:val="nil"/>
              <w:bottom w:val="nil"/>
              <w:right w:val="nil"/>
            </w:tcBorders>
          </w:tcPr>
          <w:p>
            <w:pPr>
              <w:spacing w:line="360" w:lineRule="auto"/>
              <w:ind w:left="0" w:firstLine="420"/>
              <w:rPr>
                <w:sz w:val="24"/>
                <w:szCs w:val="24"/>
              </w:rPr>
            </w:pPr>
          </w:p>
        </w:tc>
        <w:tc>
          <w:tcPr>
            <w:tcW w:w="869" w:type="dxa"/>
            <w:gridSpan w:val="2"/>
            <w:tcBorders>
              <w:top w:val="nil"/>
              <w:left w:val="nil"/>
              <w:bottom w:val="nil"/>
              <w:right w:val="nil"/>
            </w:tcBorders>
          </w:tcPr>
          <w:p>
            <w:pPr>
              <w:spacing w:line="360" w:lineRule="auto"/>
              <w:ind w:left="0" w:firstLine="420"/>
              <w:rPr>
                <w:sz w:val="24"/>
                <w:szCs w:val="24"/>
              </w:rPr>
            </w:pPr>
          </w:p>
        </w:tc>
        <w:tc>
          <w:tcPr>
            <w:tcW w:w="450" w:type="dxa"/>
            <w:tcBorders>
              <w:top w:val="nil"/>
              <w:left w:val="nil"/>
              <w:bottom w:val="nil"/>
              <w:right w:val="nil"/>
            </w:tcBorders>
          </w:tcPr>
          <w:p>
            <w:pPr>
              <w:spacing w:line="360" w:lineRule="auto"/>
              <w:ind w:left="0" w:firstLine="420"/>
              <w:rPr>
                <w:sz w:val="24"/>
                <w:szCs w:val="24"/>
              </w:rPr>
            </w:pPr>
          </w:p>
        </w:tc>
      </w:tr>
      <w:tr>
        <w:tblPrEx>
          <w:tblCellMar>
            <w:top w:w="0" w:type="dxa"/>
            <w:left w:w="108" w:type="dxa"/>
            <w:bottom w:w="0" w:type="dxa"/>
            <w:right w:w="108" w:type="dxa"/>
          </w:tblCellMar>
        </w:tblPrEx>
        <w:trPr>
          <w:trHeight w:val="550" w:hRule="atLeast"/>
        </w:trPr>
        <w:tc>
          <w:tcPr>
            <w:tcW w:w="666" w:type="dxa"/>
            <w:gridSpan w:val="2"/>
            <w:tcBorders>
              <w:top w:val="single" w:color="auto" w:sz="8" w:space="0"/>
              <w:left w:val="single" w:color="auto" w:sz="8" w:space="0"/>
              <w:bottom w:val="single" w:color="auto" w:sz="8" w:space="0"/>
              <w:right w:val="single" w:color="auto" w:sz="8" w:space="0"/>
            </w:tcBorders>
            <w:vAlign w:val="center"/>
          </w:tcPr>
          <w:p>
            <w:pPr>
              <w:spacing w:line="360" w:lineRule="auto"/>
              <w:ind w:left="0"/>
              <w:rPr>
                <w:sz w:val="24"/>
                <w:szCs w:val="24"/>
              </w:rPr>
            </w:pPr>
            <w:r>
              <w:rPr>
                <w:rFonts w:hint="eastAsia"/>
                <w:sz w:val="24"/>
                <w:szCs w:val="24"/>
              </w:rPr>
              <w:t>　</w:t>
            </w:r>
          </w:p>
        </w:tc>
        <w:tc>
          <w:tcPr>
            <w:tcW w:w="742" w:type="dxa"/>
            <w:tcBorders>
              <w:top w:val="single" w:color="auto" w:sz="8" w:space="0"/>
              <w:left w:val="nil"/>
              <w:bottom w:val="single" w:color="auto" w:sz="8" w:space="0"/>
              <w:right w:val="single" w:color="auto" w:sz="8" w:space="0"/>
            </w:tcBorders>
            <w:vAlign w:val="center"/>
          </w:tcPr>
          <w:p>
            <w:pPr>
              <w:spacing w:line="360" w:lineRule="auto"/>
              <w:ind w:left="0"/>
              <w:rPr>
                <w:b/>
                <w:bCs/>
                <w:sz w:val="24"/>
                <w:szCs w:val="24"/>
              </w:rPr>
            </w:pPr>
            <w:r>
              <w:rPr>
                <w:rFonts w:hint="eastAsia"/>
                <w:b/>
                <w:bCs/>
                <w:sz w:val="24"/>
                <w:szCs w:val="24"/>
              </w:rPr>
              <w:t>资源池名称</w:t>
            </w:r>
          </w:p>
        </w:tc>
        <w:tc>
          <w:tcPr>
            <w:tcW w:w="405" w:type="dxa"/>
            <w:tcBorders>
              <w:top w:val="single" w:color="auto" w:sz="8" w:space="0"/>
              <w:left w:val="nil"/>
              <w:bottom w:val="single" w:color="auto" w:sz="8" w:space="0"/>
              <w:right w:val="single" w:color="auto" w:sz="8" w:space="0"/>
            </w:tcBorders>
            <w:vAlign w:val="center"/>
          </w:tcPr>
          <w:p>
            <w:pPr>
              <w:spacing w:line="360" w:lineRule="auto"/>
              <w:ind w:left="0"/>
              <w:rPr>
                <w:b/>
                <w:bCs/>
                <w:sz w:val="24"/>
                <w:szCs w:val="24"/>
              </w:rPr>
            </w:pPr>
            <w:r>
              <w:rPr>
                <w:rFonts w:hint="eastAsia"/>
                <w:b/>
                <w:bCs/>
                <w:sz w:val="24"/>
                <w:szCs w:val="24"/>
              </w:rPr>
              <w:t>-</w:t>
            </w:r>
          </w:p>
        </w:tc>
        <w:tc>
          <w:tcPr>
            <w:tcW w:w="689" w:type="dxa"/>
            <w:tcBorders>
              <w:top w:val="single" w:color="auto" w:sz="8" w:space="0"/>
              <w:left w:val="nil"/>
              <w:bottom w:val="single" w:color="auto" w:sz="8" w:space="0"/>
              <w:right w:val="single" w:color="auto" w:sz="8" w:space="0"/>
            </w:tcBorders>
            <w:vAlign w:val="center"/>
          </w:tcPr>
          <w:p>
            <w:pPr>
              <w:spacing w:line="360" w:lineRule="auto"/>
              <w:ind w:left="0"/>
              <w:rPr>
                <w:b/>
                <w:bCs/>
                <w:sz w:val="24"/>
                <w:szCs w:val="24"/>
              </w:rPr>
            </w:pPr>
            <w:r>
              <w:rPr>
                <w:rFonts w:hint="eastAsia"/>
                <w:b/>
                <w:bCs/>
                <w:sz w:val="24"/>
                <w:szCs w:val="24"/>
              </w:rPr>
              <w:t>工程阶段</w:t>
            </w:r>
          </w:p>
        </w:tc>
        <w:tc>
          <w:tcPr>
            <w:tcW w:w="415" w:type="dxa"/>
            <w:tcBorders>
              <w:top w:val="single" w:color="auto" w:sz="8" w:space="0"/>
              <w:left w:val="nil"/>
              <w:bottom w:val="single" w:color="auto" w:sz="8" w:space="0"/>
              <w:right w:val="single" w:color="auto" w:sz="8" w:space="0"/>
            </w:tcBorders>
            <w:vAlign w:val="center"/>
          </w:tcPr>
          <w:p>
            <w:pPr>
              <w:spacing w:line="360" w:lineRule="auto"/>
              <w:ind w:left="0"/>
              <w:rPr>
                <w:b/>
                <w:bCs/>
                <w:sz w:val="24"/>
                <w:szCs w:val="24"/>
              </w:rPr>
            </w:pPr>
            <w:r>
              <w:rPr>
                <w:rFonts w:hint="eastAsia"/>
                <w:b/>
                <w:bCs/>
                <w:sz w:val="24"/>
                <w:szCs w:val="24"/>
              </w:rPr>
              <w:t>-</w:t>
            </w:r>
          </w:p>
        </w:tc>
        <w:tc>
          <w:tcPr>
            <w:tcW w:w="811" w:type="dxa"/>
            <w:tcBorders>
              <w:top w:val="single" w:color="auto" w:sz="8" w:space="0"/>
              <w:left w:val="nil"/>
              <w:bottom w:val="single" w:color="auto" w:sz="8" w:space="0"/>
              <w:right w:val="single" w:color="auto" w:sz="8" w:space="0"/>
            </w:tcBorders>
            <w:vAlign w:val="center"/>
          </w:tcPr>
          <w:p>
            <w:pPr>
              <w:spacing w:line="360" w:lineRule="auto"/>
              <w:ind w:left="0"/>
              <w:rPr>
                <w:b/>
                <w:bCs/>
                <w:sz w:val="24"/>
                <w:szCs w:val="24"/>
              </w:rPr>
            </w:pPr>
            <w:r>
              <w:rPr>
                <w:rFonts w:hint="eastAsia"/>
                <w:b/>
                <w:bCs/>
                <w:sz w:val="24"/>
                <w:szCs w:val="24"/>
              </w:rPr>
              <w:t>机房名称</w:t>
            </w:r>
          </w:p>
        </w:tc>
        <w:tc>
          <w:tcPr>
            <w:tcW w:w="415" w:type="dxa"/>
            <w:tcBorders>
              <w:top w:val="single" w:color="auto" w:sz="8" w:space="0"/>
              <w:left w:val="nil"/>
              <w:bottom w:val="single" w:color="auto" w:sz="8" w:space="0"/>
              <w:right w:val="single" w:color="auto" w:sz="8" w:space="0"/>
            </w:tcBorders>
            <w:vAlign w:val="center"/>
          </w:tcPr>
          <w:p>
            <w:pPr>
              <w:spacing w:line="360" w:lineRule="auto"/>
              <w:ind w:left="0"/>
              <w:rPr>
                <w:b/>
                <w:bCs/>
                <w:sz w:val="24"/>
                <w:szCs w:val="24"/>
              </w:rPr>
            </w:pPr>
            <w:r>
              <w:rPr>
                <w:rFonts w:hint="eastAsia"/>
                <w:b/>
                <w:bCs/>
                <w:sz w:val="24"/>
                <w:szCs w:val="24"/>
              </w:rPr>
              <w:t>-</w:t>
            </w:r>
          </w:p>
        </w:tc>
        <w:tc>
          <w:tcPr>
            <w:tcW w:w="840" w:type="dxa"/>
            <w:tcBorders>
              <w:top w:val="single" w:color="auto" w:sz="8" w:space="0"/>
              <w:left w:val="nil"/>
              <w:bottom w:val="single" w:color="auto" w:sz="8" w:space="0"/>
              <w:right w:val="single" w:color="auto" w:sz="8" w:space="0"/>
            </w:tcBorders>
            <w:vAlign w:val="center"/>
          </w:tcPr>
          <w:p>
            <w:pPr>
              <w:spacing w:line="360" w:lineRule="auto"/>
              <w:ind w:left="0"/>
              <w:rPr>
                <w:b/>
                <w:bCs/>
                <w:sz w:val="24"/>
                <w:szCs w:val="24"/>
              </w:rPr>
            </w:pPr>
            <w:r>
              <w:rPr>
                <w:rFonts w:hint="eastAsia"/>
                <w:b/>
                <w:bCs/>
                <w:sz w:val="24"/>
                <w:szCs w:val="24"/>
              </w:rPr>
              <w:t>所属业务区域</w:t>
            </w:r>
          </w:p>
        </w:tc>
        <w:tc>
          <w:tcPr>
            <w:tcW w:w="416" w:type="dxa"/>
            <w:tcBorders>
              <w:top w:val="single" w:color="auto" w:sz="8" w:space="0"/>
              <w:left w:val="nil"/>
              <w:bottom w:val="single" w:color="auto" w:sz="8" w:space="0"/>
              <w:right w:val="single" w:color="auto" w:sz="8" w:space="0"/>
            </w:tcBorders>
            <w:vAlign w:val="center"/>
          </w:tcPr>
          <w:p>
            <w:pPr>
              <w:spacing w:line="360" w:lineRule="auto"/>
              <w:ind w:left="0"/>
              <w:rPr>
                <w:b/>
                <w:bCs/>
                <w:sz w:val="24"/>
                <w:szCs w:val="24"/>
              </w:rPr>
            </w:pPr>
            <w:r>
              <w:rPr>
                <w:rFonts w:hint="eastAsia"/>
                <w:b/>
                <w:bCs/>
                <w:sz w:val="24"/>
                <w:szCs w:val="24"/>
              </w:rPr>
              <w:t>-</w:t>
            </w:r>
          </w:p>
        </w:tc>
        <w:tc>
          <w:tcPr>
            <w:tcW w:w="770" w:type="dxa"/>
            <w:tcBorders>
              <w:top w:val="single" w:color="auto" w:sz="8" w:space="0"/>
              <w:left w:val="nil"/>
              <w:bottom w:val="single" w:color="auto" w:sz="8" w:space="0"/>
              <w:right w:val="single" w:color="auto" w:sz="8" w:space="0"/>
            </w:tcBorders>
            <w:vAlign w:val="center"/>
          </w:tcPr>
          <w:p>
            <w:pPr>
              <w:spacing w:line="360" w:lineRule="auto"/>
              <w:ind w:left="0"/>
              <w:rPr>
                <w:b/>
                <w:bCs/>
                <w:sz w:val="24"/>
                <w:szCs w:val="24"/>
              </w:rPr>
            </w:pPr>
            <w:r>
              <w:rPr>
                <w:rFonts w:hint="eastAsia"/>
                <w:b/>
                <w:bCs/>
                <w:sz w:val="24"/>
                <w:szCs w:val="24"/>
              </w:rPr>
              <w:t>业务类型</w:t>
            </w:r>
          </w:p>
        </w:tc>
        <w:tc>
          <w:tcPr>
            <w:tcW w:w="455" w:type="dxa"/>
            <w:tcBorders>
              <w:top w:val="single" w:color="auto" w:sz="8" w:space="0"/>
              <w:left w:val="nil"/>
              <w:bottom w:val="single" w:color="auto" w:sz="8" w:space="0"/>
              <w:right w:val="single" w:color="auto" w:sz="8" w:space="0"/>
            </w:tcBorders>
            <w:vAlign w:val="center"/>
          </w:tcPr>
          <w:p>
            <w:pPr>
              <w:spacing w:line="360" w:lineRule="auto"/>
              <w:ind w:left="0"/>
              <w:rPr>
                <w:b/>
                <w:bCs/>
                <w:sz w:val="24"/>
                <w:szCs w:val="24"/>
              </w:rPr>
            </w:pPr>
            <w:r>
              <w:rPr>
                <w:rFonts w:hint="eastAsia"/>
                <w:b/>
                <w:bCs/>
                <w:sz w:val="24"/>
                <w:szCs w:val="24"/>
              </w:rPr>
              <w:t>-</w:t>
            </w:r>
          </w:p>
        </w:tc>
        <w:tc>
          <w:tcPr>
            <w:tcW w:w="869" w:type="dxa"/>
            <w:tcBorders>
              <w:top w:val="single" w:color="auto" w:sz="8" w:space="0"/>
              <w:left w:val="nil"/>
              <w:bottom w:val="single" w:color="auto" w:sz="8" w:space="0"/>
              <w:right w:val="single" w:color="auto" w:sz="8" w:space="0"/>
            </w:tcBorders>
            <w:vAlign w:val="center"/>
          </w:tcPr>
          <w:p>
            <w:pPr>
              <w:spacing w:line="360" w:lineRule="auto"/>
              <w:ind w:left="0"/>
              <w:rPr>
                <w:b/>
                <w:bCs/>
                <w:sz w:val="24"/>
                <w:szCs w:val="24"/>
              </w:rPr>
            </w:pPr>
            <w:r>
              <w:rPr>
                <w:rFonts w:hint="eastAsia"/>
                <w:b/>
                <w:bCs/>
                <w:sz w:val="24"/>
                <w:szCs w:val="24"/>
              </w:rPr>
              <w:t>产品型号</w:t>
            </w:r>
          </w:p>
        </w:tc>
        <w:tc>
          <w:tcPr>
            <w:tcW w:w="621" w:type="dxa"/>
            <w:tcBorders>
              <w:top w:val="single" w:color="auto" w:sz="8" w:space="0"/>
              <w:left w:val="nil"/>
              <w:bottom w:val="single" w:color="auto" w:sz="8" w:space="0"/>
              <w:right w:val="single" w:color="auto" w:sz="8" w:space="0"/>
            </w:tcBorders>
            <w:vAlign w:val="center"/>
          </w:tcPr>
          <w:p>
            <w:pPr>
              <w:spacing w:line="360" w:lineRule="auto"/>
              <w:ind w:left="0"/>
              <w:rPr>
                <w:b/>
                <w:bCs/>
                <w:sz w:val="24"/>
                <w:szCs w:val="24"/>
              </w:rPr>
            </w:pPr>
            <w:r>
              <w:rPr>
                <w:rFonts w:hint="eastAsia"/>
                <w:b/>
                <w:bCs/>
                <w:sz w:val="24"/>
                <w:szCs w:val="24"/>
              </w:rPr>
              <w:t>-</w:t>
            </w:r>
          </w:p>
        </w:tc>
        <w:tc>
          <w:tcPr>
            <w:tcW w:w="698" w:type="dxa"/>
            <w:gridSpan w:val="2"/>
            <w:tcBorders>
              <w:top w:val="single" w:color="auto" w:sz="8" w:space="0"/>
              <w:left w:val="nil"/>
              <w:bottom w:val="single" w:color="auto" w:sz="8" w:space="0"/>
              <w:right w:val="single" w:color="auto" w:sz="8" w:space="0"/>
            </w:tcBorders>
            <w:vAlign w:val="center"/>
          </w:tcPr>
          <w:p>
            <w:pPr>
              <w:spacing w:line="360" w:lineRule="auto"/>
              <w:ind w:left="0"/>
              <w:rPr>
                <w:b/>
                <w:bCs/>
                <w:sz w:val="24"/>
                <w:szCs w:val="24"/>
              </w:rPr>
            </w:pPr>
            <w:r>
              <w:rPr>
                <w:rFonts w:hint="eastAsia"/>
                <w:b/>
                <w:bCs/>
                <w:sz w:val="24"/>
                <w:szCs w:val="24"/>
              </w:rPr>
              <w:t>序号</w:t>
            </w:r>
          </w:p>
        </w:tc>
      </w:tr>
      <w:tr>
        <w:tblPrEx>
          <w:tblCellMar>
            <w:top w:w="0" w:type="dxa"/>
            <w:left w:w="108" w:type="dxa"/>
            <w:bottom w:w="0" w:type="dxa"/>
            <w:right w:w="108" w:type="dxa"/>
          </w:tblCellMar>
        </w:tblPrEx>
        <w:trPr>
          <w:trHeight w:val="550" w:hRule="atLeast"/>
        </w:trPr>
        <w:tc>
          <w:tcPr>
            <w:tcW w:w="666" w:type="dxa"/>
            <w:gridSpan w:val="2"/>
            <w:tcBorders>
              <w:top w:val="nil"/>
              <w:left w:val="single" w:color="auto" w:sz="8" w:space="0"/>
              <w:bottom w:val="single" w:color="auto" w:sz="8" w:space="0"/>
              <w:right w:val="single" w:color="auto" w:sz="8" w:space="0"/>
            </w:tcBorders>
            <w:vAlign w:val="center"/>
          </w:tcPr>
          <w:p>
            <w:pPr>
              <w:spacing w:line="360" w:lineRule="auto"/>
              <w:ind w:left="0"/>
              <w:rPr>
                <w:sz w:val="24"/>
                <w:szCs w:val="24"/>
              </w:rPr>
            </w:pPr>
            <w:r>
              <w:rPr>
                <w:rFonts w:hint="eastAsia"/>
                <w:sz w:val="24"/>
                <w:szCs w:val="24"/>
              </w:rPr>
              <w:t>符号</w:t>
            </w:r>
          </w:p>
        </w:tc>
        <w:tc>
          <w:tcPr>
            <w:tcW w:w="742" w:type="dxa"/>
            <w:tcBorders>
              <w:top w:val="nil"/>
              <w:left w:val="nil"/>
              <w:bottom w:val="single" w:color="auto" w:sz="8" w:space="0"/>
              <w:right w:val="single" w:color="auto" w:sz="8" w:space="0"/>
            </w:tcBorders>
            <w:vAlign w:val="center"/>
          </w:tcPr>
          <w:p>
            <w:pPr>
              <w:spacing w:line="360" w:lineRule="auto"/>
              <w:ind w:left="0"/>
              <w:rPr>
                <w:sz w:val="24"/>
                <w:szCs w:val="24"/>
              </w:rPr>
            </w:pPr>
            <w:r>
              <w:rPr>
                <w:rFonts w:hint="eastAsia"/>
                <w:sz w:val="24"/>
                <w:szCs w:val="24"/>
              </w:rPr>
              <w:t>字符</w:t>
            </w:r>
          </w:p>
        </w:tc>
        <w:tc>
          <w:tcPr>
            <w:tcW w:w="405" w:type="dxa"/>
            <w:tcBorders>
              <w:top w:val="nil"/>
              <w:left w:val="nil"/>
              <w:bottom w:val="single" w:color="auto" w:sz="8" w:space="0"/>
              <w:right w:val="single" w:color="auto" w:sz="8" w:space="0"/>
            </w:tcBorders>
            <w:vAlign w:val="center"/>
          </w:tcPr>
          <w:p>
            <w:pPr>
              <w:spacing w:line="360" w:lineRule="auto"/>
              <w:ind w:left="0"/>
              <w:rPr>
                <w:sz w:val="24"/>
                <w:szCs w:val="24"/>
              </w:rPr>
            </w:pPr>
            <w:r>
              <w:rPr>
                <w:rFonts w:hint="eastAsia"/>
                <w:sz w:val="24"/>
                <w:szCs w:val="24"/>
              </w:rPr>
              <w:t>字符</w:t>
            </w:r>
          </w:p>
        </w:tc>
        <w:tc>
          <w:tcPr>
            <w:tcW w:w="689" w:type="dxa"/>
            <w:tcBorders>
              <w:top w:val="nil"/>
              <w:left w:val="nil"/>
              <w:bottom w:val="single" w:color="auto" w:sz="8" w:space="0"/>
              <w:right w:val="single" w:color="auto" w:sz="8" w:space="0"/>
            </w:tcBorders>
            <w:vAlign w:val="center"/>
          </w:tcPr>
          <w:p>
            <w:pPr>
              <w:spacing w:line="360" w:lineRule="auto"/>
              <w:ind w:left="0"/>
              <w:rPr>
                <w:sz w:val="24"/>
                <w:szCs w:val="24"/>
              </w:rPr>
            </w:pPr>
            <w:r>
              <w:rPr>
                <w:rFonts w:hint="eastAsia"/>
                <w:sz w:val="24"/>
                <w:szCs w:val="24"/>
              </w:rPr>
              <w:t>字符</w:t>
            </w:r>
          </w:p>
        </w:tc>
        <w:tc>
          <w:tcPr>
            <w:tcW w:w="415" w:type="dxa"/>
            <w:tcBorders>
              <w:top w:val="nil"/>
              <w:left w:val="nil"/>
              <w:bottom w:val="single" w:color="auto" w:sz="8" w:space="0"/>
              <w:right w:val="single" w:color="auto" w:sz="8" w:space="0"/>
            </w:tcBorders>
            <w:vAlign w:val="center"/>
          </w:tcPr>
          <w:p>
            <w:pPr>
              <w:spacing w:line="360" w:lineRule="auto"/>
              <w:ind w:left="0"/>
              <w:rPr>
                <w:sz w:val="24"/>
                <w:szCs w:val="24"/>
              </w:rPr>
            </w:pPr>
            <w:r>
              <w:rPr>
                <w:rFonts w:hint="eastAsia"/>
                <w:sz w:val="24"/>
                <w:szCs w:val="24"/>
              </w:rPr>
              <w:t>字符</w:t>
            </w:r>
          </w:p>
        </w:tc>
        <w:tc>
          <w:tcPr>
            <w:tcW w:w="811" w:type="dxa"/>
            <w:tcBorders>
              <w:top w:val="nil"/>
              <w:left w:val="nil"/>
              <w:bottom w:val="single" w:color="auto" w:sz="8" w:space="0"/>
              <w:right w:val="single" w:color="auto" w:sz="8" w:space="0"/>
            </w:tcBorders>
            <w:vAlign w:val="center"/>
          </w:tcPr>
          <w:p>
            <w:pPr>
              <w:spacing w:line="360" w:lineRule="auto"/>
              <w:ind w:left="0"/>
              <w:rPr>
                <w:sz w:val="24"/>
                <w:szCs w:val="24"/>
              </w:rPr>
            </w:pPr>
            <w:r>
              <w:rPr>
                <w:rFonts w:hint="eastAsia"/>
                <w:sz w:val="24"/>
                <w:szCs w:val="24"/>
              </w:rPr>
              <w:t>字符/数字</w:t>
            </w:r>
          </w:p>
        </w:tc>
        <w:tc>
          <w:tcPr>
            <w:tcW w:w="415" w:type="dxa"/>
            <w:tcBorders>
              <w:top w:val="nil"/>
              <w:left w:val="nil"/>
              <w:bottom w:val="single" w:color="auto" w:sz="8" w:space="0"/>
              <w:right w:val="single" w:color="auto" w:sz="8" w:space="0"/>
            </w:tcBorders>
            <w:vAlign w:val="center"/>
          </w:tcPr>
          <w:p>
            <w:pPr>
              <w:spacing w:line="360" w:lineRule="auto"/>
              <w:ind w:left="0"/>
              <w:rPr>
                <w:sz w:val="24"/>
                <w:szCs w:val="24"/>
              </w:rPr>
            </w:pPr>
            <w:r>
              <w:rPr>
                <w:rFonts w:hint="eastAsia"/>
                <w:sz w:val="24"/>
                <w:szCs w:val="24"/>
              </w:rPr>
              <w:t>字符</w:t>
            </w:r>
          </w:p>
        </w:tc>
        <w:tc>
          <w:tcPr>
            <w:tcW w:w="840" w:type="dxa"/>
            <w:tcBorders>
              <w:top w:val="nil"/>
              <w:left w:val="nil"/>
              <w:bottom w:val="single" w:color="auto" w:sz="8" w:space="0"/>
              <w:right w:val="single" w:color="auto" w:sz="8" w:space="0"/>
            </w:tcBorders>
            <w:vAlign w:val="center"/>
          </w:tcPr>
          <w:p>
            <w:pPr>
              <w:spacing w:line="360" w:lineRule="auto"/>
              <w:ind w:left="0"/>
              <w:rPr>
                <w:sz w:val="24"/>
                <w:szCs w:val="24"/>
              </w:rPr>
            </w:pPr>
            <w:r>
              <w:rPr>
                <w:rFonts w:hint="eastAsia"/>
                <w:sz w:val="24"/>
                <w:szCs w:val="24"/>
              </w:rPr>
              <w:t>字符/数字</w:t>
            </w:r>
          </w:p>
        </w:tc>
        <w:tc>
          <w:tcPr>
            <w:tcW w:w="416" w:type="dxa"/>
            <w:tcBorders>
              <w:top w:val="nil"/>
              <w:left w:val="nil"/>
              <w:bottom w:val="single" w:color="auto" w:sz="8" w:space="0"/>
              <w:right w:val="single" w:color="auto" w:sz="8" w:space="0"/>
            </w:tcBorders>
            <w:vAlign w:val="center"/>
          </w:tcPr>
          <w:p>
            <w:pPr>
              <w:spacing w:line="360" w:lineRule="auto"/>
              <w:ind w:left="0"/>
              <w:rPr>
                <w:sz w:val="24"/>
                <w:szCs w:val="24"/>
              </w:rPr>
            </w:pPr>
            <w:r>
              <w:rPr>
                <w:rFonts w:hint="eastAsia"/>
                <w:sz w:val="24"/>
                <w:szCs w:val="24"/>
              </w:rPr>
              <w:t>字符</w:t>
            </w:r>
          </w:p>
        </w:tc>
        <w:tc>
          <w:tcPr>
            <w:tcW w:w="770" w:type="dxa"/>
            <w:tcBorders>
              <w:top w:val="nil"/>
              <w:left w:val="nil"/>
              <w:bottom w:val="single" w:color="auto" w:sz="8" w:space="0"/>
              <w:right w:val="single" w:color="auto" w:sz="8" w:space="0"/>
            </w:tcBorders>
            <w:vAlign w:val="center"/>
          </w:tcPr>
          <w:p>
            <w:pPr>
              <w:spacing w:line="360" w:lineRule="auto"/>
              <w:ind w:left="0"/>
              <w:rPr>
                <w:sz w:val="24"/>
                <w:szCs w:val="24"/>
              </w:rPr>
            </w:pPr>
            <w:r>
              <w:rPr>
                <w:rFonts w:hint="eastAsia"/>
                <w:sz w:val="24"/>
                <w:szCs w:val="24"/>
              </w:rPr>
              <w:t>字符/数字</w:t>
            </w:r>
          </w:p>
        </w:tc>
        <w:tc>
          <w:tcPr>
            <w:tcW w:w="455" w:type="dxa"/>
            <w:tcBorders>
              <w:top w:val="nil"/>
              <w:left w:val="nil"/>
              <w:bottom w:val="single" w:color="auto" w:sz="8" w:space="0"/>
              <w:right w:val="single" w:color="auto" w:sz="8" w:space="0"/>
            </w:tcBorders>
            <w:vAlign w:val="center"/>
          </w:tcPr>
          <w:p>
            <w:pPr>
              <w:spacing w:line="360" w:lineRule="auto"/>
              <w:ind w:left="0"/>
              <w:rPr>
                <w:sz w:val="24"/>
                <w:szCs w:val="24"/>
              </w:rPr>
            </w:pPr>
            <w:r>
              <w:rPr>
                <w:rFonts w:hint="eastAsia"/>
                <w:sz w:val="24"/>
                <w:szCs w:val="24"/>
              </w:rPr>
              <w:t>字符</w:t>
            </w:r>
          </w:p>
        </w:tc>
        <w:tc>
          <w:tcPr>
            <w:tcW w:w="869" w:type="dxa"/>
            <w:tcBorders>
              <w:top w:val="nil"/>
              <w:left w:val="nil"/>
              <w:bottom w:val="single" w:color="auto" w:sz="8" w:space="0"/>
              <w:right w:val="single" w:color="auto" w:sz="8" w:space="0"/>
            </w:tcBorders>
            <w:vAlign w:val="center"/>
          </w:tcPr>
          <w:p>
            <w:pPr>
              <w:spacing w:line="360" w:lineRule="auto"/>
              <w:ind w:left="0"/>
              <w:rPr>
                <w:sz w:val="24"/>
                <w:szCs w:val="24"/>
              </w:rPr>
            </w:pPr>
            <w:r>
              <w:rPr>
                <w:rFonts w:hint="eastAsia"/>
                <w:sz w:val="24"/>
                <w:szCs w:val="24"/>
              </w:rPr>
              <w:t>字符/数字</w:t>
            </w:r>
          </w:p>
        </w:tc>
        <w:tc>
          <w:tcPr>
            <w:tcW w:w="621" w:type="dxa"/>
            <w:tcBorders>
              <w:top w:val="nil"/>
              <w:left w:val="nil"/>
              <w:bottom w:val="single" w:color="auto" w:sz="8" w:space="0"/>
              <w:right w:val="single" w:color="auto" w:sz="8" w:space="0"/>
            </w:tcBorders>
            <w:vAlign w:val="center"/>
          </w:tcPr>
          <w:p>
            <w:pPr>
              <w:spacing w:line="360" w:lineRule="auto"/>
              <w:ind w:left="0"/>
              <w:rPr>
                <w:sz w:val="24"/>
                <w:szCs w:val="24"/>
              </w:rPr>
            </w:pPr>
            <w:r>
              <w:rPr>
                <w:rFonts w:hint="eastAsia"/>
                <w:sz w:val="24"/>
                <w:szCs w:val="24"/>
              </w:rPr>
              <w:t>字符</w:t>
            </w:r>
          </w:p>
        </w:tc>
        <w:tc>
          <w:tcPr>
            <w:tcW w:w="698" w:type="dxa"/>
            <w:gridSpan w:val="2"/>
            <w:tcBorders>
              <w:top w:val="nil"/>
              <w:left w:val="nil"/>
              <w:bottom w:val="single" w:color="auto" w:sz="8" w:space="0"/>
              <w:right w:val="single" w:color="auto" w:sz="8" w:space="0"/>
            </w:tcBorders>
            <w:vAlign w:val="center"/>
          </w:tcPr>
          <w:p>
            <w:pPr>
              <w:spacing w:line="360" w:lineRule="auto"/>
              <w:ind w:left="0"/>
              <w:rPr>
                <w:sz w:val="24"/>
                <w:szCs w:val="24"/>
              </w:rPr>
            </w:pPr>
            <w:r>
              <w:rPr>
                <w:rFonts w:hint="eastAsia"/>
                <w:sz w:val="24"/>
                <w:szCs w:val="24"/>
              </w:rPr>
              <w:t>数字</w:t>
            </w:r>
          </w:p>
        </w:tc>
      </w:tr>
      <w:tr>
        <w:tblPrEx>
          <w:tblCellMar>
            <w:top w:w="0" w:type="dxa"/>
            <w:left w:w="108" w:type="dxa"/>
            <w:bottom w:w="0" w:type="dxa"/>
            <w:right w:w="108" w:type="dxa"/>
          </w:tblCellMar>
        </w:tblPrEx>
        <w:trPr>
          <w:trHeight w:val="820" w:hRule="atLeast"/>
        </w:trPr>
        <w:tc>
          <w:tcPr>
            <w:tcW w:w="666" w:type="dxa"/>
            <w:gridSpan w:val="2"/>
            <w:tcBorders>
              <w:top w:val="nil"/>
              <w:left w:val="single" w:color="auto" w:sz="8" w:space="0"/>
              <w:bottom w:val="single" w:color="auto" w:sz="8" w:space="0"/>
              <w:right w:val="single" w:color="auto" w:sz="8" w:space="0"/>
            </w:tcBorders>
            <w:vAlign w:val="center"/>
          </w:tcPr>
          <w:p>
            <w:pPr>
              <w:spacing w:line="360" w:lineRule="auto"/>
              <w:ind w:left="0"/>
              <w:rPr>
                <w:sz w:val="24"/>
                <w:szCs w:val="24"/>
              </w:rPr>
            </w:pPr>
            <w:r>
              <w:rPr>
                <w:rFonts w:hint="eastAsia"/>
                <w:sz w:val="24"/>
                <w:szCs w:val="24"/>
              </w:rPr>
              <w:t>字符数</w:t>
            </w:r>
          </w:p>
        </w:tc>
        <w:tc>
          <w:tcPr>
            <w:tcW w:w="742" w:type="dxa"/>
            <w:tcBorders>
              <w:top w:val="nil"/>
              <w:left w:val="nil"/>
              <w:bottom w:val="single" w:color="auto" w:sz="8" w:space="0"/>
              <w:right w:val="single" w:color="auto" w:sz="8" w:space="0"/>
            </w:tcBorders>
            <w:vAlign w:val="center"/>
          </w:tcPr>
          <w:p>
            <w:pPr>
              <w:spacing w:line="360" w:lineRule="auto"/>
              <w:ind w:left="0"/>
              <w:rPr>
                <w:sz w:val="24"/>
                <w:szCs w:val="24"/>
              </w:rPr>
            </w:pPr>
            <w:r>
              <w:rPr>
                <w:rFonts w:hint="eastAsia"/>
                <w:sz w:val="24"/>
                <w:szCs w:val="24"/>
              </w:rPr>
              <w:t>≤4（大写字母）</w:t>
            </w:r>
          </w:p>
        </w:tc>
        <w:tc>
          <w:tcPr>
            <w:tcW w:w="405" w:type="dxa"/>
            <w:tcBorders>
              <w:top w:val="nil"/>
              <w:left w:val="nil"/>
              <w:bottom w:val="single" w:color="auto" w:sz="8" w:space="0"/>
              <w:right w:val="single" w:color="auto" w:sz="8" w:space="0"/>
            </w:tcBorders>
            <w:vAlign w:val="center"/>
          </w:tcPr>
          <w:p>
            <w:pPr>
              <w:spacing w:line="360" w:lineRule="auto"/>
              <w:ind w:left="0"/>
              <w:rPr>
                <w:sz w:val="24"/>
                <w:szCs w:val="24"/>
              </w:rPr>
            </w:pPr>
            <w:r>
              <w:rPr>
                <w:rFonts w:hint="eastAsia"/>
                <w:sz w:val="24"/>
                <w:szCs w:val="24"/>
              </w:rPr>
              <w:t>1</w:t>
            </w:r>
          </w:p>
        </w:tc>
        <w:tc>
          <w:tcPr>
            <w:tcW w:w="689" w:type="dxa"/>
            <w:tcBorders>
              <w:top w:val="nil"/>
              <w:left w:val="nil"/>
              <w:bottom w:val="single" w:color="auto" w:sz="8" w:space="0"/>
              <w:right w:val="single" w:color="auto" w:sz="8" w:space="0"/>
            </w:tcBorders>
            <w:vAlign w:val="center"/>
          </w:tcPr>
          <w:p>
            <w:pPr>
              <w:spacing w:line="360" w:lineRule="auto"/>
              <w:ind w:left="0"/>
              <w:rPr>
                <w:sz w:val="24"/>
                <w:szCs w:val="24"/>
              </w:rPr>
            </w:pPr>
            <w:r>
              <w:rPr>
                <w:rFonts w:hint="eastAsia"/>
                <w:sz w:val="24"/>
                <w:szCs w:val="24"/>
              </w:rPr>
              <w:t>≤</w:t>
            </w:r>
            <w:r>
              <w:rPr>
                <w:sz w:val="24"/>
                <w:szCs w:val="24"/>
              </w:rPr>
              <w:t>4</w:t>
            </w:r>
            <w:r>
              <w:rPr>
                <w:rFonts w:hint="eastAsia"/>
                <w:sz w:val="24"/>
                <w:szCs w:val="24"/>
              </w:rPr>
              <w:t>（大写字母）</w:t>
            </w:r>
          </w:p>
        </w:tc>
        <w:tc>
          <w:tcPr>
            <w:tcW w:w="415" w:type="dxa"/>
            <w:tcBorders>
              <w:top w:val="nil"/>
              <w:left w:val="nil"/>
              <w:bottom w:val="single" w:color="auto" w:sz="8" w:space="0"/>
              <w:right w:val="single" w:color="auto" w:sz="8" w:space="0"/>
            </w:tcBorders>
            <w:vAlign w:val="center"/>
          </w:tcPr>
          <w:p>
            <w:pPr>
              <w:spacing w:line="360" w:lineRule="auto"/>
              <w:ind w:left="0"/>
              <w:rPr>
                <w:sz w:val="24"/>
                <w:szCs w:val="24"/>
              </w:rPr>
            </w:pPr>
            <w:r>
              <w:rPr>
                <w:rFonts w:hint="eastAsia"/>
                <w:sz w:val="24"/>
                <w:szCs w:val="24"/>
              </w:rPr>
              <w:t>1</w:t>
            </w:r>
          </w:p>
        </w:tc>
        <w:tc>
          <w:tcPr>
            <w:tcW w:w="811" w:type="dxa"/>
            <w:tcBorders>
              <w:top w:val="nil"/>
              <w:left w:val="nil"/>
              <w:bottom w:val="single" w:color="auto" w:sz="8" w:space="0"/>
              <w:right w:val="single" w:color="auto" w:sz="8" w:space="0"/>
            </w:tcBorders>
            <w:vAlign w:val="center"/>
          </w:tcPr>
          <w:p>
            <w:pPr>
              <w:spacing w:line="360" w:lineRule="auto"/>
              <w:ind w:left="0"/>
              <w:rPr>
                <w:sz w:val="24"/>
                <w:szCs w:val="24"/>
              </w:rPr>
            </w:pPr>
            <w:r>
              <w:rPr>
                <w:rFonts w:hint="eastAsia"/>
                <w:sz w:val="24"/>
                <w:szCs w:val="24"/>
              </w:rPr>
              <w:t>≤4(大写字母或数字)</w:t>
            </w:r>
          </w:p>
        </w:tc>
        <w:tc>
          <w:tcPr>
            <w:tcW w:w="415" w:type="dxa"/>
            <w:tcBorders>
              <w:top w:val="nil"/>
              <w:left w:val="nil"/>
              <w:bottom w:val="single" w:color="auto" w:sz="8" w:space="0"/>
              <w:right w:val="single" w:color="auto" w:sz="8" w:space="0"/>
            </w:tcBorders>
            <w:vAlign w:val="center"/>
          </w:tcPr>
          <w:p>
            <w:pPr>
              <w:spacing w:line="360" w:lineRule="auto"/>
              <w:ind w:left="0"/>
              <w:rPr>
                <w:sz w:val="24"/>
                <w:szCs w:val="24"/>
              </w:rPr>
            </w:pPr>
            <w:r>
              <w:rPr>
                <w:rFonts w:hint="eastAsia"/>
                <w:sz w:val="24"/>
                <w:szCs w:val="24"/>
              </w:rPr>
              <w:t>1</w:t>
            </w:r>
          </w:p>
        </w:tc>
        <w:tc>
          <w:tcPr>
            <w:tcW w:w="840" w:type="dxa"/>
            <w:tcBorders>
              <w:top w:val="nil"/>
              <w:left w:val="nil"/>
              <w:bottom w:val="single" w:color="auto" w:sz="8" w:space="0"/>
              <w:right w:val="single" w:color="auto" w:sz="8" w:space="0"/>
            </w:tcBorders>
            <w:vAlign w:val="center"/>
          </w:tcPr>
          <w:p>
            <w:pPr>
              <w:spacing w:line="360" w:lineRule="auto"/>
              <w:ind w:left="0"/>
              <w:rPr>
                <w:sz w:val="24"/>
                <w:szCs w:val="24"/>
              </w:rPr>
            </w:pPr>
            <w:r>
              <w:rPr>
                <w:rFonts w:hint="eastAsia"/>
                <w:sz w:val="24"/>
                <w:szCs w:val="24"/>
              </w:rPr>
              <w:t>≤5(大写字母或数字)</w:t>
            </w:r>
          </w:p>
        </w:tc>
        <w:tc>
          <w:tcPr>
            <w:tcW w:w="416" w:type="dxa"/>
            <w:tcBorders>
              <w:top w:val="nil"/>
              <w:left w:val="nil"/>
              <w:bottom w:val="single" w:color="auto" w:sz="8" w:space="0"/>
              <w:right w:val="single" w:color="auto" w:sz="8" w:space="0"/>
            </w:tcBorders>
            <w:vAlign w:val="center"/>
          </w:tcPr>
          <w:p>
            <w:pPr>
              <w:spacing w:line="360" w:lineRule="auto"/>
              <w:ind w:left="0"/>
              <w:rPr>
                <w:sz w:val="24"/>
                <w:szCs w:val="24"/>
              </w:rPr>
            </w:pPr>
            <w:r>
              <w:rPr>
                <w:rFonts w:hint="eastAsia"/>
                <w:sz w:val="24"/>
                <w:szCs w:val="24"/>
              </w:rPr>
              <w:t>1</w:t>
            </w:r>
          </w:p>
        </w:tc>
        <w:tc>
          <w:tcPr>
            <w:tcW w:w="770" w:type="dxa"/>
            <w:tcBorders>
              <w:top w:val="nil"/>
              <w:left w:val="nil"/>
              <w:bottom w:val="single" w:color="auto" w:sz="8" w:space="0"/>
              <w:right w:val="single" w:color="auto" w:sz="8" w:space="0"/>
            </w:tcBorders>
            <w:vAlign w:val="center"/>
          </w:tcPr>
          <w:p>
            <w:pPr>
              <w:spacing w:line="360" w:lineRule="auto"/>
              <w:ind w:left="0"/>
              <w:rPr>
                <w:sz w:val="24"/>
                <w:szCs w:val="24"/>
              </w:rPr>
            </w:pPr>
            <w:r>
              <w:rPr>
                <w:rFonts w:hint="eastAsia"/>
                <w:sz w:val="24"/>
                <w:szCs w:val="24"/>
              </w:rPr>
              <w:t>≤3（大写字母）</w:t>
            </w:r>
          </w:p>
        </w:tc>
        <w:tc>
          <w:tcPr>
            <w:tcW w:w="455" w:type="dxa"/>
            <w:tcBorders>
              <w:top w:val="nil"/>
              <w:left w:val="nil"/>
              <w:bottom w:val="single" w:color="auto" w:sz="8" w:space="0"/>
              <w:right w:val="single" w:color="auto" w:sz="8" w:space="0"/>
            </w:tcBorders>
            <w:vAlign w:val="center"/>
          </w:tcPr>
          <w:p>
            <w:pPr>
              <w:spacing w:line="360" w:lineRule="auto"/>
              <w:ind w:left="0"/>
              <w:rPr>
                <w:sz w:val="24"/>
                <w:szCs w:val="24"/>
              </w:rPr>
            </w:pPr>
            <w:r>
              <w:rPr>
                <w:rFonts w:hint="eastAsia"/>
                <w:sz w:val="24"/>
                <w:szCs w:val="24"/>
              </w:rPr>
              <w:t>1</w:t>
            </w:r>
          </w:p>
        </w:tc>
        <w:tc>
          <w:tcPr>
            <w:tcW w:w="869" w:type="dxa"/>
            <w:tcBorders>
              <w:top w:val="nil"/>
              <w:left w:val="nil"/>
              <w:bottom w:val="single" w:color="auto" w:sz="8" w:space="0"/>
              <w:right w:val="single" w:color="auto" w:sz="8" w:space="0"/>
            </w:tcBorders>
            <w:vAlign w:val="center"/>
          </w:tcPr>
          <w:p>
            <w:pPr>
              <w:spacing w:line="360" w:lineRule="auto"/>
              <w:ind w:left="0"/>
              <w:rPr>
                <w:sz w:val="24"/>
                <w:szCs w:val="24"/>
              </w:rPr>
            </w:pPr>
            <w:r>
              <w:rPr>
                <w:rFonts w:hint="eastAsia"/>
                <w:sz w:val="24"/>
                <w:szCs w:val="24"/>
              </w:rPr>
              <w:t>≤5(大写字母或数字)</w:t>
            </w:r>
          </w:p>
        </w:tc>
        <w:tc>
          <w:tcPr>
            <w:tcW w:w="621" w:type="dxa"/>
            <w:tcBorders>
              <w:top w:val="nil"/>
              <w:left w:val="nil"/>
              <w:bottom w:val="single" w:color="auto" w:sz="8" w:space="0"/>
              <w:right w:val="single" w:color="auto" w:sz="8" w:space="0"/>
            </w:tcBorders>
            <w:vAlign w:val="center"/>
          </w:tcPr>
          <w:p>
            <w:pPr>
              <w:spacing w:line="360" w:lineRule="auto"/>
              <w:ind w:left="0"/>
              <w:rPr>
                <w:sz w:val="24"/>
                <w:szCs w:val="24"/>
              </w:rPr>
            </w:pPr>
            <w:r>
              <w:rPr>
                <w:rFonts w:hint="eastAsia"/>
                <w:sz w:val="24"/>
                <w:szCs w:val="24"/>
              </w:rPr>
              <w:t>1</w:t>
            </w:r>
          </w:p>
        </w:tc>
        <w:tc>
          <w:tcPr>
            <w:tcW w:w="698" w:type="dxa"/>
            <w:gridSpan w:val="2"/>
            <w:tcBorders>
              <w:top w:val="nil"/>
              <w:left w:val="nil"/>
              <w:bottom w:val="single" w:color="auto" w:sz="8" w:space="0"/>
              <w:right w:val="single" w:color="auto" w:sz="8" w:space="0"/>
            </w:tcBorders>
            <w:vAlign w:val="center"/>
          </w:tcPr>
          <w:p>
            <w:pPr>
              <w:spacing w:line="360" w:lineRule="auto"/>
              <w:ind w:left="0"/>
              <w:rPr>
                <w:sz w:val="24"/>
                <w:szCs w:val="24"/>
              </w:rPr>
            </w:pPr>
            <w:r>
              <w:rPr>
                <w:rFonts w:hint="eastAsia"/>
                <w:sz w:val="24"/>
                <w:szCs w:val="24"/>
              </w:rPr>
              <w:t>2</w:t>
            </w:r>
          </w:p>
        </w:tc>
      </w:tr>
    </w:tbl>
    <w:p>
      <w:pPr>
        <w:spacing w:line="360" w:lineRule="auto"/>
        <w:ind w:left="0"/>
        <w:rPr>
          <w:sz w:val="24"/>
          <w:szCs w:val="24"/>
        </w:rPr>
      </w:pPr>
    </w:p>
    <w:p>
      <w:pPr>
        <w:spacing w:line="360" w:lineRule="auto"/>
        <w:ind w:left="0"/>
        <w:rPr>
          <w:sz w:val="24"/>
          <w:szCs w:val="24"/>
        </w:rPr>
      </w:pPr>
    </w:p>
    <w:p>
      <w:pPr>
        <w:spacing w:line="360" w:lineRule="auto"/>
        <w:ind w:left="0"/>
        <w:rPr>
          <w:sz w:val="24"/>
          <w:szCs w:val="24"/>
        </w:rPr>
      </w:pPr>
    </w:p>
    <w:p>
      <w:pPr>
        <w:spacing w:line="360" w:lineRule="auto"/>
        <w:ind w:left="0"/>
        <w:rPr>
          <w:sz w:val="24"/>
          <w:szCs w:val="24"/>
        </w:rPr>
      </w:pPr>
    </w:p>
    <w:p>
      <w:pPr>
        <w:spacing w:line="360" w:lineRule="auto"/>
        <w:ind w:left="0"/>
        <w:rPr>
          <w:sz w:val="24"/>
          <w:szCs w:val="24"/>
        </w:rPr>
      </w:pPr>
    </w:p>
    <w:p>
      <w:pPr>
        <w:spacing w:line="360" w:lineRule="auto"/>
        <w:ind w:left="0"/>
        <w:rPr>
          <w:sz w:val="24"/>
          <w:szCs w:val="24"/>
        </w:rPr>
      </w:pPr>
    </w:p>
    <w:p>
      <w:pPr>
        <w:spacing w:line="360" w:lineRule="auto"/>
        <w:ind w:left="0"/>
        <w:rPr>
          <w:sz w:val="24"/>
          <w:szCs w:val="24"/>
        </w:rPr>
      </w:pPr>
    </w:p>
    <w:p>
      <w:pPr>
        <w:spacing w:line="360" w:lineRule="auto"/>
        <w:ind w:left="0"/>
        <w:rPr>
          <w:sz w:val="24"/>
          <w:szCs w:val="24"/>
        </w:rPr>
      </w:pPr>
    </w:p>
    <w:p>
      <w:pPr>
        <w:spacing w:line="360" w:lineRule="auto"/>
        <w:ind w:left="0"/>
        <w:rPr>
          <w:sz w:val="24"/>
          <w:szCs w:val="24"/>
        </w:rPr>
      </w:pPr>
    </w:p>
    <w:p>
      <w:pPr>
        <w:spacing w:line="360" w:lineRule="auto"/>
        <w:ind w:left="0"/>
        <w:rPr>
          <w:sz w:val="24"/>
          <w:szCs w:val="24"/>
        </w:rPr>
      </w:pPr>
    </w:p>
    <w:p>
      <w:pPr>
        <w:spacing w:line="360" w:lineRule="auto"/>
        <w:ind w:left="0" w:firstLine="420"/>
        <w:rPr>
          <w:sz w:val="24"/>
          <w:szCs w:val="24"/>
        </w:rPr>
      </w:pPr>
      <w:r>
        <w:rPr>
          <w:rFonts w:hint="eastAsia"/>
          <w:sz w:val="24"/>
          <w:szCs w:val="24"/>
        </w:rPr>
        <w:t>说明：</w:t>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p>
    <w:p>
      <w:pPr>
        <w:spacing w:line="360" w:lineRule="auto"/>
        <w:ind w:left="0" w:firstLine="420"/>
        <w:rPr>
          <w:sz w:val="24"/>
          <w:szCs w:val="24"/>
        </w:rPr>
      </w:pPr>
      <w:r>
        <w:rPr>
          <w:rFonts w:hint="eastAsia"/>
          <w:sz w:val="24"/>
          <w:szCs w:val="24"/>
        </w:rPr>
        <w:t>（1）“资源池名称”字段命名规则：</w:t>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p>
    <w:p>
      <w:pPr>
        <w:spacing w:line="360" w:lineRule="auto"/>
        <w:ind w:left="0" w:firstLine="420"/>
        <w:rPr>
          <w:sz w:val="24"/>
          <w:szCs w:val="24"/>
        </w:rPr>
      </w:pPr>
      <w:r>
        <w:rPr>
          <w:rFonts w:hint="eastAsia"/>
          <w:sz w:val="24"/>
          <w:szCs w:val="24"/>
        </w:rPr>
        <w:t>“数据中心”直接用“SJZX”大写字母表示。</w:t>
      </w:r>
      <w:r>
        <w:rPr>
          <w:rFonts w:hint="eastAsia"/>
          <w:sz w:val="24"/>
          <w:szCs w:val="24"/>
        </w:rPr>
        <w:tab/>
      </w:r>
    </w:p>
    <w:p>
      <w:pPr>
        <w:spacing w:line="360" w:lineRule="auto"/>
        <w:ind w:left="0" w:firstLine="420"/>
        <w:rPr>
          <w:sz w:val="24"/>
          <w:szCs w:val="24"/>
        </w:rPr>
      </w:pPr>
      <w:r>
        <w:rPr>
          <w:rFonts w:hint="eastAsia"/>
          <w:sz w:val="24"/>
          <w:szCs w:val="24"/>
        </w:rPr>
        <w:t>（</w:t>
      </w:r>
      <w:r>
        <w:rPr>
          <w:sz w:val="24"/>
          <w:szCs w:val="24"/>
        </w:rPr>
        <w:t>2</w:t>
      </w:r>
      <w:r>
        <w:rPr>
          <w:rFonts w:hint="eastAsia"/>
          <w:sz w:val="24"/>
          <w:szCs w:val="24"/>
        </w:rPr>
        <w:t>）“工程阶段”字段命名规则：</w:t>
      </w:r>
      <w:r>
        <w:rPr>
          <w:rFonts w:hint="eastAsia"/>
          <w:sz w:val="24"/>
          <w:szCs w:val="24"/>
        </w:rPr>
        <w:tab/>
      </w:r>
      <w:r>
        <w:rPr>
          <w:rFonts w:hint="eastAsia"/>
          <w:sz w:val="24"/>
          <w:szCs w:val="24"/>
        </w:rPr>
        <w:t>本期工程为一期一阶段 P1F1。</w:t>
      </w:r>
    </w:p>
    <w:p>
      <w:pPr>
        <w:spacing w:line="360" w:lineRule="auto"/>
        <w:ind w:left="0" w:firstLine="420"/>
        <w:rPr>
          <w:sz w:val="24"/>
          <w:szCs w:val="24"/>
        </w:rPr>
      </w:pPr>
      <w:r>
        <w:rPr>
          <w:rFonts w:hint="eastAsia"/>
          <w:sz w:val="24"/>
          <w:szCs w:val="24"/>
        </w:rPr>
        <w:t>（</w:t>
      </w:r>
      <w:r>
        <w:rPr>
          <w:sz w:val="24"/>
          <w:szCs w:val="24"/>
        </w:rPr>
        <w:t>3</w:t>
      </w:r>
      <w:r>
        <w:rPr>
          <w:rFonts w:hint="eastAsia"/>
          <w:sz w:val="24"/>
          <w:szCs w:val="24"/>
        </w:rPr>
        <w:t>）“机房名称”字段命名规则：</w:t>
      </w:r>
      <w:r>
        <w:rPr>
          <w:rFonts w:hint="eastAsia"/>
          <w:sz w:val="24"/>
          <w:szCs w:val="24"/>
        </w:rPr>
        <w:tab/>
      </w:r>
      <w:r>
        <w:rPr>
          <w:rFonts w:hint="eastAsia"/>
          <w:sz w:val="24"/>
          <w:szCs w:val="24"/>
        </w:rPr>
        <w:t>机房名称采用汉语拼音首字母大写；</w:t>
      </w:r>
    </w:p>
    <w:p>
      <w:pPr>
        <w:spacing w:line="360" w:lineRule="auto"/>
        <w:ind w:left="0" w:firstLine="420"/>
        <w:rPr>
          <w:sz w:val="24"/>
          <w:szCs w:val="24"/>
        </w:rPr>
      </w:pPr>
      <w:r>
        <w:rPr>
          <w:rFonts w:hint="eastAsia"/>
          <w:sz w:val="24"/>
          <w:szCs w:val="24"/>
        </w:rPr>
        <w:t>（</w:t>
      </w:r>
      <w:r>
        <w:rPr>
          <w:sz w:val="24"/>
          <w:szCs w:val="24"/>
        </w:rPr>
        <w:t>4</w:t>
      </w:r>
      <w:r>
        <w:rPr>
          <w:rFonts w:hint="eastAsia"/>
          <w:sz w:val="24"/>
          <w:szCs w:val="24"/>
        </w:rPr>
        <w:t>）“所属业务区域：表示网元设备所属的业务区域。资源池分为业务（</w:t>
      </w:r>
      <w:r>
        <w:rPr>
          <w:sz w:val="24"/>
          <w:szCs w:val="24"/>
        </w:rPr>
        <w:t>YWW</w:t>
      </w:r>
      <w:r>
        <w:rPr>
          <w:rFonts w:hint="eastAsia"/>
          <w:sz w:val="24"/>
          <w:szCs w:val="24"/>
        </w:rPr>
        <w:t>）、存储网（</w:t>
      </w:r>
      <w:r>
        <w:rPr>
          <w:sz w:val="24"/>
          <w:szCs w:val="24"/>
        </w:rPr>
        <w:t>CC</w:t>
      </w:r>
      <w:r>
        <w:rPr>
          <w:rFonts w:hint="eastAsia"/>
          <w:sz w:val="24"/>
          <w:szCs w:val="24"/>
        </w:rPr>
        <w:t>W）和管理域（M）。</w:t>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r>
        <w:rPr>
          <w:rFonts w:hint="eastAsia"/>
          <w:sz w:val="24"/>
          <w:szCs w:val="24"/>
        </w:rPr>
        <w:tab/>
      </w:r>
    </w:p>
    <w:p>
      <w:pPr>
        <w:spacing w:line="360" w:lineRule="auto"/>
        <w:ind w:left="0" w:firstLine="420"/>
        <w:rPr>
          <w:sz w:val="24"/>
          <w:szCs w:val="24"/>
        </w:rPr>
      </w:pPr>
      <w:r>
        <w:rPr>
          <w:rFonts w:hint="eastAsia"/>
          <w:sz w:val="24"/>
          <w:szCs w:val="24"/>
        </w:rPr>
        <w:t>（</w:t>
      </w:r>
      <w:r>
        <w:rPr>
          <w:sz w:val="24"/>
          <w:szCs w:val="24"/>
        </w:rPr>
        <w:t>6</w:t>
      </w:r>
      <w:r>
        <w:rPr>
          <w:rFonts w:hint="eastAsia"/>
          <w:sz w:val="24"/>
          <w:szCs w:val="24"/>
        </w:rPr>
        <w:t>）“设备标识”：表示设备的生产厂商及设备型号在资源池内的标识。“设备标识”字段严格按照下表规定填写，包括字母大小写</w:t>
      </w:r>
      <w:r>
        <w:rPr>
          <w:rFonts w:hint="eastAsia"/>
          <w:sz w:val="24"/>
          <w:szCs w:val="24"/>
        </w:rPr>
        <w:tab/>
      </w:r>
    </w:p>
    <w:p>
      <w:pPr>
        <w:spacing w:line="360" w:lineRule="auto"/>
        <w:ind w:left="0" w:firstLine="420"/>
        <w:rPr>
          <w:sz w:val="24"/>
          <w:szCs w:val="24"/>
        </w:rPr>
      </w:pPr>
      <w:r>
        <w:rPr>
          <w:rFonts w:hint="eastAsia"/>
          <w:sz w:val="24"/>
          <w:szCs w:val="24"/>
        </w:rPr>
        <w:t>注：若接入网设备无命名定义则以此规则为准</w:t>
      </w:r>
      <w:r>
        <w:rPr>
          <w:rFonts w:hint="eastAsia"/>
          <w:sz w:val="24"/>
          <w:szCs w:val="24"/>
        </w:rPr>
        <w:tab/>
      </w:r>
      <w:r>
        <w:rPr>
          <w:rFonts w:hint="eastAsia"/>
          <w:sz w:val="24"/>
          <w:szCs w:val="24"/>
        </w:rPr>
        <w:tab/>
      </w:r>
      <w:r>
        <w:rPr>
          <w:rFonts w:hint="eastAsia"/>
          <w:sz w:val="24"/>
          <w:szCs w:val="24"/>
        </w:rPr>
        <w:tab/>
      </w:r>
    </w:p>
    <w:p>
      <w:pPr>
        <w:pStyle w:val="4"/>
        <w:spacing w:line="360" w:lineRule="auto"/>
        <w:ind w:firstLine="723"/>
        <w:rPr>
          <w:sz w:val="24"/>
          <w:szCs w:val="24"/>
        </w:rPr>
      </w:pPr>
      <w:r>
        <w:rPr>
          <w:rFonts w:hint="eastAsia"/>
          <w:sz w:val="24"/>
          <w:szCs w:val="24"/>
        </w:rPr>
        <w:t>超融合解决</w:t>
      </w:r>
      <w:r>
        <w:rPr>
          <w:sz w:val="24"/>
          <w:szCs w:val="24"/>
        </w:rPr>
        <w:t>方案价值</w:t>
      </w:r>
    </w:p>
    <w:p>
      <w:pPr>
        <w:pStyle w:val="5"/>
        <w:spacing w:line="360" w:lineRule="auto"/>
        <w:ind w:firstLine="602"/>
        <w:rPr>
          <w:sz w:val="24"/>
          <w:szCs w:val="24"/>
        </w:rPr>
      </w:pPr>
      <w:bookmarkStart w:id="86" w:name="_Toc489796477"/>
      <w:bookmarkStart w:id="87" w:name="_Toc31704621"/>
      <w:r>
        <w:rPr>
          <w:rFonts w:hint="eastAsia"/>
          <w:sz w:val="24"/>
          <w:szCs w:val="24"/>
        </w:rPr>
        <w:t xml:space="preserve"> 基础架构简化</w:t>
      </w:r>
      <w:bookmarkEnd w:id="86"/>
      <w:bookmarkEnd w:id="87"/>
    </w:p>
    <w:p>
      <w:pPr>
        <w:spacing w:line="360" w:lineRule="auto"/>
        <w:rPr>
          <w:b/>
          <w:sz w:val="24"/>
          <w:szCs w:val="24"/>
        </w:rPr>
      </w:pPr>
      <w:r>
        <w:rPr>
          <w:rFonts w:hint="eastAsia"/>
          <w:sz w:val="24"/>
          <w:szCs w:val="24"/>
        </w:rPr>
        <w:t>目前一期建议部署</w:t>
      </w:r>
      <w:r>
        <w:rPr>
          <w:sz w:val="24"/>
          <w:szCs w:val="24"/>
        </w:rPr>
        <w:t>4</w:t>
      </w:r>
      <w:r>
        <w:rPr>
          <w:rFonts w:hint="eastAsia"/>
          <w:sz w:val="24"/>
          <w:szCs w:val="24"/>
        </w:rPr>
        <w:t>台超融合一体机运行一部分业务系统，只需要一体机和交换机即可满足业务需求，架构简单。考虑到未来3年的业务增长和设备更新，后续可根据实际需要继续添加一体机实现业务的迁移；采用传统虚拟化部署方式，虽然服务器数量有所减少，但是在存储上的投入却明显增加</w:t>
      </w:r>
      <w:r>
        <w:rPr>
          <w:rFonts w:hint="eastAsia"/>
          <w:b/>
          <w:sz w:val="24"/>
          <w:szCs w:val="24"/>
        </w:rPr>
        <w:t>。</w:t>
      </w:r>
    </w:p>
    <w:p>
      <w:pPr>
        <w:pStyle w:val="5"/>
        <w:spacing w:line="360" w:lineRule="auto"/>
        <w:ind w:firstLine="602"/>
        <w:rPr>
          <w:sz w:val="24"/>
          <w:szCs w:val="24"/>
        </w:rPr>
      </w:pPr>
      <w:bookmarkStart w:id="88" w:name="_Toc31704622"/>
      <w:bookmarkStart w:id="89" w:name="_Toc489796478"/>
      <w:r>
        <w:rPr>
          <w:rFonts w:hint="eastAsia"/>
          <w:sz w:val="24"/>
          <w:szCs w:val="24"/>
        </w:rPr>
        <w:t>降低TCO</w:t>
      </w:r>
      <w:bookmarkEnd w:id="88"/>
      <w:bookmarkEnd w:id="89"/>
    </w:p>
    <w:p>
      <w:pPr>
        <w:spacing w:line="360" w:lineRule="auto"/>
        <w:rPr>
          <w:sz w:val="24"/>
          <w:szCs w:val="24"/>
        </w:rPr>
      </w:pPr>
      <w:r>
        <w:rPr>
          <w:rFonts w:hint="eastAsia"/>
          <w:sz w:val="24"/>
          <w:szCs w:val="24"/>
        </w:rPr>
        <w:t>通过超融合数据中心，控制和减少物理服务器的数量，明显提高每个物理服务器及其CPU的资源利用率，从而降低基础设施投资成本。降低运营和维护成本，包括数据中心空间、机柜、网线，耗电量，冷气空调和人力成本等。</w:t>
      </w:r>
    </w:p>
    <w:p>
      <w:pPr>
        <w:pStyle w:val="5"/>
        <w:spacing w:line="360" w:lineRule="auto"/>
        <w:ind w:firstLine="602"/>
        <w:rPr>
          <w:sz w:val="24"/>
          <w:szCs w:val="24"/>
        </w:rPr>
      </w:pPr>
      <w:bookmarkStart w:id="90" w:name="_Toc489796479"/>
      <w:bookmarkStart w:id="91" w:name="_Toc31704623"/>
      <w:r>
        <w:rPr>
          <w:rFonts w:hint="eastAsia"/>
          <w:sz w:val="24"/>
          <w:szCs w:val="24"/>
        </w:rPr>
        <w:t>提高运营效率</w:t>
      </w:r>
      <w:bookmarkEnd w:id="90"/>
      <w:bookmarkEnd w:id="91"/>
    </w:p>
    <w:p>
      <w:pPr>
        <w:spacing w:line="360" w:lineRule="auto"/>
        <w:rPr>
          <w:sz w:val="24"/>
          <w:szCs w:val="24"/>
        </w:rPr>
      </w:pPr>
      <w:r>
        <w:rPr>
          <w:rFonts w:hint="eastAsia"/>
          <w:sz w:val="24"/>
          <w:szCs w:val="24"/>
        </w:rPr>
        <w:t>加快新服务器和应用的部署，大大降低服务器重建和应用加载时间。</w:t>
      </w:r>
    </w:p>
    <w:p>
      <w:pPr>
        <w:spacing w:line="360" w:lineRule="auto"/>
        <w:rPr>
          <w:sz w:val="24"/>
          <w:szCs w:val="24"/>
        </w:rPr>
      </w:pPr>
      <w:r>
        <w:rPr>
          <w:rFonts w:hint="eastAsia"/>
          <w:sz w:val="24"/>
          <w:szCs w:val="24"/>
        </w:rPr>
        <w:t>主动地提前规划资源增长，这样对客户和应用的需求响应快速，不需要象以前那样，需要长时间的采购流程，然后进行尝试。</w:t>
      </w:r>
    </w:p>
    <w:p>
      <w:pPr>
        <w:spacing w:line="360" w:lineRule="auto"/>
        <w:rPr>
          <w:sz w:val="24"/>
          <w:szCs w:val="24"/>
        </w:rPr>
      </w:pPr>
      <w:r>
        <w:rPr>
          <w:rFonts w:hint="eastAsia"/>
          <w:sz w:val="24"/>
          <w:szCs w:val="24"/>
        </w:rPr>
        <w:t>不需要象以前那样，硬件维护需要数天/周的变更管理准备和1 - 3小时维护窗口，现在可以进行快速的硬件维护和升级。</w:t>
      </w:r>
    </w:p>
    <w:p>
      <w:pPr>
        <w:pStyle w:val="5"/>
        <w:spacing w:line="360" w:lineRule="auto"/>
        <w:ind w:firstLine="602"/>
        <w:rPr>
          <w:sz w:val="24"/>
          <w:szCs w:val="24"/>
        </w:rPr>
      </w:pPr>
      <w:bookmarkStart w:id="92" w:name="_Toc489796480"/>
      <w:bookmarkStart w:id="93" w:name="_Toc31704624"/>
      <w:r>
        <w:rPr>
          <w:sz w:val="24"/>
          <w:szCs w:val="24"/>
        </w:rPr>
        <w:t>横向线性扩展能力</w:t>
      </w:r>
      <w:bookmarkEnd w:id="92"/>
      <w:bookmarkEnd w:id="93"/>
    </w:p>
    <w:p>
      <w:pPr>
        <w:spacing w:line="360" w:lineRule="auto"/>
        <w:rPr>
          <w:sz w:val="24"/>
          <w:szCs w:val="24"/>
        </w:rPr>
      </w:pPr>
      <w:r>
        <w:rPr>
          <w:rFonts w:hint="eastAsia"/>
          <w:sz w:val="24"/>
          <w:szCs w:val="24"/>
        </w:rPr>
        <w:t>新华三超融合架构天然具有极好的横向扩展能力，扩展起来非常简单，只要往集群里面添加新的物理主机就可以实现横向扩展了。</w:t>
      </w:r>
    </w:p>
    <w:p>
      <w:pPr>
        <w:spacing w:line="360" w:lineRule="auto"/>
        <w:rPr>
          <w:sz w:val="24"/>
          <w:szCs w:val="24"/>
        </w:rPr>
      </w:pPr>
      <w:r>
        <w:rPr>
          <w:rFonts w:hint="eastAsia"/>
          <w:sz w:val="24"/>
          <w:szCs w:val="24"/>
        </w:rPr>
        <w:t>扩展完成后，ONEStor具备数据自动平衡的功能，即系统自定义某个业务量相对较轻的时间段进行数据平衡，ONEStor自动对集群内新旧主机做一次数据平衡，让新旧主机的负载达到均衡。</w:t>
      </w:r>
    </w:p>
    <w:p>
      <w:pPr>
        <w:pStyle w:val="5"/>
        <w:spacing w:line="360" w:lineRule="auto"/>
        <w:ind w:firstLine="602"/>
        <w:rPr>
          <w:sz w:val="24"/>
          <w:szCs w:val="24"/>
        </w:rPr>
      </w:pPr>
      <w:bookmarkStart w:id="94" w:name="_Toc489796481"/>
      <w:bookmarkStart w:id="95" w:name="_Toc31704625"/>
      <w:r>
        <w:rPr>
          <w:sz w:val="24"/>
          <w:szCs w:val="24"/>
        </w:rPr>
        <w:t>业务连续性</w:t>
      </w:r>
      <w:bookmarkEnd w:id="94"/>
      <w:bookmarkEnd w:id="95"/>
    </w:p>
    <w:p>
      <w:pPr>
        <w:spacing w:line="360" w:lineRule="auto"/>
        <w:rPr>
          <w:sz w:val="24"/>
          <w:szCs w:val="24"/>
        </w:rPr>
      </w:pPr>
      <w:r>
        <w:rPr>
          <w:rFonts w:hint="eastAsia"/>
          <w:sz w:val="24"/>
          <w:szCs w:val="24"/>
        </w:rPr>
        <w:t>为了提升服务器虚拟化系统的高可用性，新华三从如下多维度提供了高可用技术，保障业务的稳定性。</w:t>
      </w:r>
    </w:p>
    <w:p>
      <w:pPr>
        <w:pStyle w:val="129"/>
        <w:widowControl w:val="0"/>
        <w:numPr>
          <w:ilvl w:val="0"/>
          <w:numId w:val="33"/>
        </w:numPr>
        <w:spacing w:before="160" w:after="120" w:line="360" w:lineRule="auto"/>
        <w:ind w:firstLineChars="0"/>
        <w:jc w:val="left"/>
        <w:rPr>
          <w:sz w:val="24"/>
          <w:szCs w:val="24"/>
        </w:rPr>
      </w:pPr>
      <w:r>
        <w:rPr>
          <w:rFonts w:hint="eastAsia"/>
          <w:sz w:val="24"/>
          <w:szCs w:val="24"/>
        </w:rPr>
        <w:t>故障迁移（</w:t>
      </w:r>
      <w:r>
        <w:rPr>
          <w:sz w:val="24"/>
          <w:szCs w:val="24"/>
        </w:rPr>
        <w:t>HA</w:t>
      </w:r>
      <w:r>
        <w:rPr>
          <w:rFonts w:hint="eastAsia"/>
          <w:sz w:val="24"/>
          <w:szCs w:val="24"/>
        </w:rPr>
        <w:t>）</w:t>
      </w:r>
    </w:p>
    <w:p>
      <w:pPr>
        <w:spacing w:line="360" w:lineRule="auto"/>
        <w:rPr>
          <w:sz w:val="24"/>
          <w:szCs w:val="24"/>
        </w:rPr>
      </w:pPr>
      <w:r>
        <w:rPr>
          <w:rFonts w:hint="eastAsia"/>
          <w:sz w:val="24"/>
          <w:szCs w:val="24"/>
        </w:rPr>
        <w:t>新华三</w:t>
      </w:r>
      <w:r>
        <w:rPr>
          <w:sz w:val="24"/>
          <w:szCs w:val="24"/>
        </w:rPr>
        <w:t>CAS</w:t>
      </w:r>
      <w:r>
        <w:rPr>
          <w:rFonts w:hint="eastAsia"/>
          <w:sz w:val="24"/>
          <w:szCs w:val="24"/>
        </w:rPr>
        <w:t>虚拟化平台提供虚拟机热迁移和虚拟机热备份技术，降低宕机带来的风险、减少业务中断的时间。新华三</w:t>
      </w:r>
      <w:r>
        <w:rPr>
          <w:sz w:val="24"/>
          <w:szCs w:val="24"/>
        </w:rPr>
        <w:t>CAS</w:t>
      </w:r>
      <w:r>
        <w:rPr>
          <w:rFonts w:hint="eastAsia"/>
          <w:sz w:val="24"/>
          <w:szCs w:val="24"/>
        </w:rPr>
        <w:t>虚拟化平台提供</w:t>
      </w:r>
      <w:r>
        <w:rPr>
          <w:sz w:val="24"/>
          <w:szCs w:val="24"/>
        </w:rPr>
        <w:t>Guest OS</w:t>
      </w:r>
      <w:r>
        <w:rPr>
          <w:rFonts w:hint="eastAsia"/>
          <w:sz w:val="24"/>
          <w:szCs w:val="24"/>
        </w:rPr>
        <w:t>故障检测功能，当客户机发生严重故障时（例如</w:t>
      </w:r>
      <w:r>
        <w:rPr>
          <w:sz w:val="24"/>
          <w:szCs w:val="24"/>
        </w:rPr>
        <w:t>Windows</w:t>
      </w:r>
      <w:r>
        <w:rPr>
          <w:rFonts w:hint="eastAsia"/>
          <w:sz w:val="24"/>
          <w:szCs w:val="24"/>
        </w:rPr>
        <w:t>系统蓝屏），虚拟机管理程序会监控到客户机故障。虚拟机管理程序可以重启或关闭客户机，从而避免有故障的客户机持续占用计算资源。</w:t>
      </w:r>
    </w:p>
    <w:p>
      <w:pPr>
        <w:pStyle w:val="129"/>
        <w:widowControl w:val="0"/>
        <w:numPr>
          <w:ilvl w:val="0"/>
          <w:numId w:val="34"/>
        </w:numPr>
        <w:spacing w:before="160" w:after="120" w:line="360" w:lineRule="auto"/>
        <w:ind w:firstLineChars="0"/>
        <w:jc w:val="left"/>
        <w:rPr>
          <w:sz w:val="24"/>
          <w:szCs w:val="24"/>
        </w:rPr>
      </w:pPr>
      <w:r>
        <w:rPr>
          <w:rFonts w:hint="eastAsia"/>
          <w:sz w:val="24"/>
          <w:szCs w:val="24"/>
        </w:rPr>
        <w:t>热迁移（Motion）</w:t>
      </w:r>
    </w:p>
    <w:p>
      <w:pPr>
        <w:spacing w:line="360" w:lineRule="auto"/>
        <w:rPr>
          <w:sz w:val="24"/>
          <w:szCs w:val="24"/>
        </w:rPr>
      </w:pPr>
      <w:r>
        <w:rPr>
          <w:rFonts w:hint="eastAsia"/>
          <w:sz w:val="24"/>
          <w:szCs w:val="24"/>
        </w:rPr>
        <w:t>通过热迁移可以实现虚拟机的在线动态迁移</w:t>
      </w:r>
      <w:r>
        <w:rPr>
          <w:sz w:val="24"/>
          <w:szCs w:val="24"/>
        </w:rPr>
        <w:t xml:space="preserve">, </w:t>
      </w:r>
      <w:r>
        <w:rPr>
          <w:rFonts w:hint="eastAsia"/>
          <w:sz w:val="24"/>
          <w:szCs w:val="24"/>
        </w:rPr>
        <w:t>保证业务连续性；零宕机时间</w:t>
      </w:r>
      <w:r>
        <w:rPr>
          <w:sz w:val="24"/>
          <w:szCs w:val="24"/>
        </w:rPr>
        <w:t xml:space="preserve">: </w:t>
      </w:r>
      <w:r>
        <w:rPr>
          <w:rFonts w:hint="eastAsia"/>
          <w:sz w:val="24"/>
          <w:szCs w:val="24"/>
        </w:rPr>
        <w:t>进行计划内硬件维护和升级迁移工作负载，业务不中断；实现整体数据中心业务高可用，无需使用昂贵、复杂的传统集群解决方案；最大限度地减少硬件、软件故障造成的业务中断时间；提高整个基础架构范围内的保护力度。</w:t>
      </w:r>
    </w:p>
    <w:p>
      <w:pPr>
        <w:pStyle w:val="5"/>
        <w:spacing w:line="360" w:lineRule="auto"/>
        <w:ind w:firstLine="602"/>
        <w:rPr>
          <w:sz w:val="24"/>
          <w:szCs w:val="24"/>
        </w:rPr>
      </w:pPr>
      <w:bookmarkStart w:id="96" w:name="_Toc31704626"/>
      <w:bookmarkStart w:id="97" w:name="_Toc489796482"/>
      <w:r>
        <w:rPr>
          <w:sz w:val="24"/>
          <w:szCs w:val="24"/>
        </w:rPr>
        <w:t>数据可靠性</w:t>
      </w:r>
      <w:bookmarkEnd w:id="96"/>
      <w:bookmarkEnd w:id="97"/>
    </w:p>
    <w:p>
      <w:pPr>
        <w:spacing w:line="360" w:lineRule="auto"/>
        <w:rPr>
          <w:sz w:val="24"/>
          <w:szCs w:val="24"/>
        </w:rPr>
      </w:pPr>
      <w:r>
        <w:rPr>
          <w:rFonts w:hint="eastAsia"/>
          <w:sz w:val="24"/>
          <w:szCs w:val="24"/>
        </w:rPr>
        <w:t>在数据可靠性方面，新华三超融合架构没有采用传统FC存储的</w:t>
      </w:r>
      <w:r>
        <w:rPr>
          <w:sz w:val="24"/>
          <w:szCs w:val="24"/>
        </w:rPr>
        <w:t>raid</w:t>
      </w:r>
      <w:r>
        <w:rPr>
          <w:rFonts w:hint="eastAsia"/>
          <w:sz w:val="24"/>
          <w:szCs w:val="24"/>
        </w:rPr>
        <w:t>方式，而是把每份数据</w:t>
      </w:r>
      <w:r>
        <w:rPr>
          <w:sz w:val="24"/>
          <w:szCs w:val="24"/>
        </w:rPr>
        <w:t>复制</w:t>
      </w:r>
      <w:r>
        <w:rPr>
          <w:rFonts w:hint="eastAsia"/>
          <w:sz w:val="24"/>
          <w:szCs w:val="24"/>
        </w:rPr>
        <w:t>成多份副本进行多副本存储，服务器只需要以常规手段挂载硬盘，虚拟化存储平台会把数据、在不同的物理服务器硬盘里创建</w:t>
      </w:r>
      <w:r>
        <w:rPr>
          <w:sz w:val="24"/>
          <w:szCs w:val="24"/>
        </w:rPr>
        <w:t>2</w:t>
      </w:r>
      <w:r>
        <w:rPr>
          <w:rFonts w:hint="eastAsia"/>
          <w:sz w:val="24"/>
          <w:szCs w:val="24"/>
        </w:rPr>
        <w:t>个到</w:t>
      </w:r>
      <w:r>
        <w:rPr>
          <w:sz w:val="24"/>
          <w:szCs w:val="24"/>
        </w:rPr>
        <w:t>3</w:t>
      </w:r>
      <w:r>
        <w:rPr>
          <w:rFonts w:hint="eastAsia"/>
          <w:sz w:val="24"/>
          <w:szCs w:val="24"/>
        </w:rPr>
        <w:t>个一样的副本。而且，每一次数据的变化，都会通过网络，同时在</w:t>
      </w:r>
      <w:r>
        <w:rPr>
          <w:sz w:val="24"/>
          <w:szCs w:val="24"/>
        </w:rPr>
        <w:t>ONEStor</w:t>
      </w:r>
      <w:r>
        <w:rPr>
          <w:rFonts w:hint="eastAsia"/>
          <w:sz w:val="24"/>
          <w:szCs w:val="24"/>
        </w:rPr>
        <w:t>中的所有副本里进行同步，从而确保数据的一致性。这样做的好处非常明显，多副本的同步存储方式，能够在最大程度上确保数据的互备效果，从而低成本的实现存储的高可靠。</w:t>
      </w:r>
    </w:p>
    <w:p>
      <w:pPr>
        <w:spacing w:line="360" w:lineRule="auto"/>
        <w:rPr>
          <w:color w:val="000000" w:themeColor="text1"/>
          <w:sz w:val="24"/>
          <w:szCs w:val="24"/>
          <w14:textFill>
            <w14:solidFill>
              <w14:schemeClr w14:val="tx1"/>
            </w14:solidFill>
          </w14:textFill>
        </w:rPr>
      </w:pPr>
      <w:r>
        <w:rPr>
          <w:sz w:val="24"/>
          <w:szCs w:val="24"/>
        </w:rPr>
        <w:drawing>
          <wp:inline distT="0" distB="0" distL="0" distR="0">
            <wp:extent cx="5486400" cy="295592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69"/>
                    <a:stretch>
                      <a:fillRect/>
                    </a:stretch>
                  </pic:blipFill>
                  <pic:spPr>
                    <a:xfrm>
                      <a:off x="0" y="0"/>
                      <a:ext cx="5486400" cy="2955925"/>
                    </a:xfrm>
                    <a:prstGeom prst="rect">
                      <a:avLst/>
                    </a:prstGeom>
                  </pic:spPr>
                </pic:pic>
              </a:graphicData>
            </a:graphic>
          </wp:inline>
        </w:drawing>
      </w:r>
    </w:p>
    <w:p>
      <w:pPr>
        <w:spacing w:line="360" w:lineRule="auto"/>
        <w:rPr>
          <w:sz w:val="24"/>
          <w:szCs w:val="24"/>
        </w:rPr>
      </w:pPr>
      <w:r>
        <w:rPr>
          <w:rFonts w:hint="eastAsia"/>
          <w:sz w:val="24"/>
          <w:szCs w:val="24"/>
        </w:rPr>
        <w:t>由于ONEStor存储虚拟化采用副本方式保存数据，支持2-3份副本。当物理硬盘出现故障的时候，存储则会被重新指向另外一个健康的副本，整个过程是毫秒级的切换</w:t>
      </w:r>
      <w:r>
        <w:rPr>
          <w:sz w:val="24"/>
          <w:szCs w:val="24"/>
        </w:rPr>
        <w:t>,</w:t>
      </w:r>
      <w:r>
        <w:rPr>
          <w:rFonts w:hint="eastAsia"/>
          <w:sz w:val="24"/>
          <w:szCs w:val="24"/>
        </w:rPr>
        <w:t>对用户来讲基本是无感知的。</w:t>
      </w:r>
    </w:p>
    <w:p>
      <w:pPr>
        <w:spacing w:line="360" w:lineRule="auto"/>
        <w:rPr>
          <w:sz w:val="24"/>
          <w:szCs w:val="24"/>
        </w:rPr>
      </w:pPr>
      <w:r>
        <w:rPr>
          <w:rFonts w:hint="eastAsia"/>
          <w:sz w:val="24"/>
          <w:szCs w:val="24"/>
        </w:rPr>
        <w:t>如果出现物理主机或者是网络故障，整个虚拟化平台可以完成分钟级的切换，业务系统或者网络设备的虚机可以快速切换到另一台服务器拉起，几分钟就能恢复正常运作，而存储的指向仍然保持了同步，这样就比传统方式的业务恢复速度快了很多。</w:t>
      </w:r>
    </w:p>
    <w:p>
      <w:pPr>
        <w:spacing w:line="360" w:lineRule="auto"/>
        <w:rPr>
          <w:color w:val="000000" w:themeColor="text1"/>
          <w:sz w:val="24"/>
          <w:szCs w:val="24"/>
          <w14:textFill>
            <w14:solidFill>
              <w14:schemeClr w14:val="tx1"/>
            </w14:solidFill>
          </w14:textFill>
        </w:rPr>
      </w:pPr>
      <w:r>
        <w:rPr>
          <w:sz w:val="24"/>
          <w:szCs w:val="24"/>
        </w:rPr>
        <w:drawing>
          <wp:inline distT="0" distB="0" distL="0" distR="0">
            <wp:extent cx="5486400" cy="2924175"/>
            <wp:effectExtent l="0" t="0" r="0"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r:embed="rId70"/>
                    <a:stretch>
                      <a:fillRect/>
                    </a:stretch>
                  </pic:blipFill>
                  <pic:spPr>
                    <a:xfrm>
                      <a:off x="0" y="0"/>
                      <a:ext cx="5486400" cy="2924175"/>
                    </a:xfrm>
                    <a:prstGeom prst="rect">
                      <a:avLst/>
                    </a:prstGeom>
                  </pic:spPr>
                </pic:pic>
              </a:graphicData>
            </a:graphic>
          </wp:inline>
        </w:drawing>
      </w:r>
    </w:p>
    <w:p>
      <w:pPr>
        <w:pStyle w:val="5"/>
        <w:spacing w:line="360" w:lineRule="auto"/>
        <w:ind w:firstLine="602"/>
        <w:rPr>
          <w:sz w:val="24"/>
          <w:szCs w:val="24"/>
        </w:rPr>
      </w:pPr>
      <w:bookmarkStart w:id="98" w:name="_Toc31704627"/>
      <w:bookmarkStart w:id="99" w:name="_Toc489796483"/>
      <w:r>
        <w:rPr>
          <w:rFonts w:hint="eastAsia"/>
          <w:sz w:val="24"/>
          <w:szCs w:val="24"/>
        </w:rPr>
        <w:t>立体化安全体系架构</w:t>
      </w:r>
      <w:bookmarkEnd w:id="98"/>
      <w:bookmarkEnd w:id="99"/>
    </w:p>
    <w:p>
      <w:pPr>
        <w:pStyle w:val="159"/>
        <w:ind w:left="210" w:right="210"/>
        <w:rPr>
          <w:rFonts w:ascii="Arial" w:hAnsi="Arial" w:eastAsia="宋体" w:cs="Arial"/>
          <w:sz w:val="24"/>
          <w:szCs w:val="24"/>
        </w:rPr>
      </w:pPr>
      <w:r>
        <w:rPr>
          <w:rFonts w:hint="eastAsia" w:ascii="Arial" w:hAnsi="Arial" w:eastAsia="宋体" w:cs="Arial"/>
          <w:sz w:val="24"/>
          <w:szCs w:val="24"/>
        </w:rPr>
        <w:t>新华三超融合架构规避了传统架构极不灵活的网络、安全、存储体系结构，这种体系结构使用软件主导型网络和安全、存储虚拟化服务，获得云计算基础架构的全面敏捷性。通过创建能够适应工作负载并随工作负载移动的网络和安全、存储结构，根据业务需要快速部署、移动、扩展和保护应用及数据。新华三超融合架构可使软件主导型网络和安全、存储与紧密集成到虚拟数据中心管理中的基于策略的调配机制结合在一起。</w:t>
      </w:r>
    </w:p>
    <w:p>
      <w:pPr>
        <w:pStyle w:val="4"/>
        <w:spacing w:line="360" w:lineRule="auto"/>
        <w:ind w:firstLine="723"/>
        <w:rPr>
          <w:sz w:val="24"/>
          <w:szCs w:val="24"/>
        </w:rPr>
      </w:pPr>
      <w:bookmarkStart w:id="100" w:name="_Toc31704628"/>
      <w:r>
        <w:rPr>
          <w:rFonts w:hint="eastAsia"/>
          <w:sz w:val="24"/>
          <w:szCs w:val="24"/>
        </w:rPr>
        <w:t>超融合解决</w:t>
      </w:r>
      <w:r>
        <w:rPr>
          <w:sz w:val="24"/>
          <w:szCs w:val="24"/>
        </w:rPr>
        <w:t>方案优势</w:t>
      </w:r>
      <w:bookmarkEnd w:id="100"/>
    </w:p>
    <w:p>
      <w:pPr>
        <w:pStyle w:val="5"/>
        <w:spacing w:line="360" w:lineRule="auto"/>
        <w:ind w:firstLine="602"/>
        <w:rPr>
          <w:sz w:val="24"/>
          <w:szCs w:val="24"/>
        </w:rPr>
      </w:pPr>
      <w:bookmarkStart w:id="101" w:name="_Toc31704629"/>
      <w:r>
        <w:rPr>
          <w:rFonts w:hint="eastAsia"/>
          <w:sz w:val="24"/>
          <w:szCs w:val="24"/>
        </w:rPr>
        <w:t>融合至</w:t>
      </w:r>
      <w:r>
        <w:rPr>
          <w:sz w:val="24"/>
          <w:szCs w:val="24"/>
        </w:rPr>
        <w:t>简</w:t>
      </w:r>
      <w:bookmarkEnd w:id="101"/>
    </w:p>
    <w:p>
      <w:pPr>
        <w:spacing w:line="360" w:lineRule="auto"/>
        <w:rPr>
          <w:sz w:val="24"/>
          <w:szCs w:val="24"/>
        </w:rPr>
      </w:pPr>
      <w:r>
        <w:rPr>
          <w:sz w:val="24"/>
          <w:szCs w:val="24"/>
        </w:rPr>
        <w:t>UIS</w:t>
      </w:r>
      <w:r>
        <w:rPr>
          <w:rFonts w:hint="eastAsia"/>
          <w:sz w:val="24"/>
          <w:szCs w:val="24"/>
        </w:rPr>
        <w:t>超融合一体机，集成了计算、存储、网络、安全、运维监控、云平台六大资源，实现仅服务器和交换机的极简的硬件架构平台和统一的软件定义数据中心资源池，无需跳转不同的管理界面就可实现对数据中心统一管理。同时一键系列操作，可使运维可视化、自动化、智能化，业务部署时间减少</w:t>
      </w:r>
      <w:r>
        <w:rPr>
          <w:sz w:val="24"/>
          <w:szCs w:val="24"/>
        </w:rPr>
        <w:t>90%</w:t>
      </w:r>
      <w:r>
        <w:rPr>
          <w:rFonts w:hint="eastAsia"/>
          <w:sz w:val="24"/>
          <w:szCs w:val="24"/>
        </w:rPr>
        <w:t>，工作量降低</w:t>
      </w:r>
      <w:r>
        <w:rPr>
          <w:sz w:val="24"/>
          <w:szCs w:val="24"/>
        </w:rPr>
        <w:t>80%</w:t>
      </w:r>
      <w:r>
        <w:rPr>
          <w:rFonts w:hint="eastAsia"/>
          <w:sz w:val="24"/>
          <w:szCs w:val="24"/>
        </w:rPr>
        <w:t>，高密硬件一体机实现空间节省</w:t>
      </w:r>
      <w:r>
        <w:rPr>
          <w:sz w:val="24"/>
          <w:szCs w:val="24"/>
        </w:rPr>
        <w:t>70%</w:t>
      </w:r>
      <w:r>
        <w:rPr>
          <w:rFonts w:hint="eastAsia"/>
          <w:sz w:val="24"/>
          <w:szCs w:val="24"/>
        </w:rPr>
        <w:t>以上。</w:t>
      </w:r>
    </w:p>
    <w:p>
      <w:pPr>
        <w:pStyle w:val="5"/>
        <w:spacing w:line="360" w:lineRule="auto"/>
        <w:ind w:firstLine="602"/>
        <w:rPr>
          <w:sz w:val="24"/>
          <w:szCs w:val="24"/>
        </w:rPr>
      </w:pPr>
      <w:bookmarkStart w:id="102" w:name="_Toc31704630"/>
      <w:r>
        <w:rPr>
          <w:rFonts w:hint="eastAsia"/>
          <w:sz w:val="24"/>
          <w:szCs w:val="24"/>
        </w:rPr>
        <w:t>多维</w:t>
      </w:r>
      <w:r>
        <w:rPr>
          <w:sz w:val="24"/>
          <w:szCs w:val="24"/>
        </w:rPr>
        <w:t>安全</w:t>
      </w:r>
      <w:bookmarkEnd w:id="102"/>
    </w:p>
    <w:p>
      <w:pPr>
        <w:spacing w:line="360" w:lineRule="auto"/>
        <w:rPr>
          <w:sz w:val="24"/>
          <w:szCs w:val="24"/>
        </w:rPr>
      </w:pPr>
      <w:r>
        <w:rPr>
          <w:sz w:val="24"/>
          <w:szCs w:val="24"/>
        </w:rPr>
        <w:t>UIS</w:t>
      </w:r>
      <w:r>
        <w:rPr>
          <w:rFonts w:hint="eastAsia"/>
          <w:sz w:val="24"/>
          <w:szCs w:val="24"/>
        </w:rPr>
        <w:t>是业内安全保护级别最高的超融合系统，集成了防火墙、杀毒、数据加密销毁、多因子认证、安全域划分、安全监控审计等众多安全特性，满足涉密行业保密合规标准。</w:t>
      </w:r>
    </w:p>
    <w:p>
      <w:pPr>
        <w:pStyle w:val="5"/>
        <w:spacing w:line="360" w:lineRule="auto"/>
        <w:ind w:firstLine="602"/>
        <w:rPr>
          <w:sz w:val="24"/>
          <w:szCs w:val="24"/>
        </w:rPr>
      </w:pPr>
      <w:bookmarkStart w:id="103" w:name="_Toc31704631"/>
      <w:r>
        <w:rPr>
          <w:rFonts w:hint="eastAsia"/>
          <w:sz w:val="24"/>
          <w:szCs w:val="24"/>
        </w:rPr>
        <w:t>一键上</w:t>
      </w:r>
      <w:r>
        <w:rPr>
          <w:sz w:val="24"/>
          <w:szCs w:val="24"/>
        </w:rPr>
        <w:t>云</w:t>
      </w:r>
      <w:bookmarkEnd w:id="103"/>
    </w:p>
    <w:p>
      <w:pPr>
        <w:spacing w:line="360" w:lineRule="auto"/>
        <w:rPr>
          <w:sz w:val="24"/>
          <w:szCs w:val="24"/>
        </w:rPr>
      </w:pPr>
      <w:r>
        <w:rPr>
          <w:rFonts w:hint="eastAsia"/>
          <w:sz w:val="24"/>
          <w:szCs w:val="24"/>
        </w:rPr>
        <w:t>开箱即用，</w:t>
      </w:r>
      <w:r>
        <w:rPr>
          <w:sz w:val="24"/>
          <w:szCs w:val="24"/>
        </w:rPr>
        <w:t>UIS 30</w:t>
      </w:r>
      <w:r>
        <w:rPr>
          <w:rFonts w:hint="eastAsia"/>
          <w:sz w:val="24"/>
          <w:szCs w:val="24"/>
        </w:rPr>
        <w:t>分钟实现交付云计算环境，实现业务自助交付，并可实现省市多级管理，并可对接公有云平台，满足业务的增长需求和备份需求。</w:t>
      </w:r>
    </w:p>
    <w:p>
      <w:pPr>
        <w:spacing w:line="360" w:lineRule="auto"/>
        <w:rPr>
          <w:sz w:val="24"/>
          <w:szCs w:val="24"/>
        </w:rPr>
      </w:pPr>
      <w:r>
        <w:rPr>
          <w:sz w:val="24"/>
          <w:szCs w:val="24"/>
        </w:rPr>
        <w:drawing>
          <wp:inline distT="0" distB="0" distL="0" distR="0">
            <wp:extent cx="6074410" cy="2590800"/>
            <wp:effectExtent l="0" t="0" r="2540" b="0"/>
            <wp:docPr id="2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
                    <pic:cNvPicPr>
                      <a:picLocks noChangeAspect="1"/>
                    </pic:cNvPicPr>
                  </pic:nvPicPr>
                  <pic:blipFill>
                    <a:blip r:embed="rId71"/>
                    <a:stretch>
                      <a:fillRect/>
                    </a:stretch>
                  </pic:blipFill>
                  <pic:spPr>
                    <a:xfrm>
                      <a:off x="0" y="0"/>
                      <a:ext cx="6078607" cy="2592590"/>
                    </a:xfrm>
                    <a:prstGeom prst="rect">
                      <a:avLst/>
                    </a:prstGeom>
                  </pic:spPr>
                </pic:pic>
              </a:graphicData>
            </a:graphic>
          </wp:inline>
        </w:drawing>
      </w:r>
    </w:p>
    <w:p>
      <w:pPr>
        <w:spacing w:line="360" w:lineRule="auto"/>
        <w:ind w:left="0"/>
        <w:rPr>
          <w:sz w:val="24"/>
          <w:szCs w:val="24"/>
        </w:rPr>
      </w:pPr>
      <w:r>
        <w:rPr>
          <w:rFonts w:hint="eastAsia"/>
          <w:sz w:val="24"/>
          <w:szCs w:val="24"/>
        </w:rPr>
        <w:tab/>
      </w:r>
    </w:p>
    <w:sectPr>
      <w:footerReference r:id="rId4" w:type="default"/>
      <w:pgSz w:w="11907" w:h="16160"/>
      <w:pgMar w:top="1247" w:right="1134" w:bottom="1247" w:left="1134" w:header="850" w:footer="850" w:gutter="0"/>
      <w:pgNumType w:start="1"/>
      <w:cols w:space="425" w:num="1"/>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Narrow">
    <w:panose1 w:val="020B0606020202030204"/>
    <w:charset w:val="00"/>
    <w:family w:val="swiss"/>
    <w:pitch w:val="default"/>
    <w:sig w:usb0="00000287" w:usb1="00000800" w:usb2="00000000" w:usb3="00000000" w:csb0="2000009F" w:csb1="DFD70000"/>
  </w:font>
  <w:font w:name="Futura Bk">
    <w:altName w:val="Segoe UI"/>
    <w:panose1 w:val="00000000000000000000"/>
    <w:charset w:val="00"/>
    <w:family w:val="swiss"/>
    <w:pitch w:val="default"/>
    <w:sig w:usb0="00000000" w:usb1="00000000" w:usb2="00000000" w:usb3="00000000" w:csb0="0000009F" w:csb1="00000000"/>
  </w:font>
  <w:font w:name="Futura Hv">
    <w:altName w:val="Arial"/>
    <w:panose1 w:val="00000000000000000000"/>
    <w:charset w:val="00"/>
    <w:family w:val="swiss"/>
    <w:pitch w:val="default"/>
    <w:sig w:usb0="00000000" w:usb1="00000000" w:usb2="00000000" w:usb3="00000000" w:csb0="0000009F" w:csb1="00000000"/>
  </w:font>
  <w:font w:name="Cambria">
    <w:panose1 w:val="02040503050406030204"/>
    <w:charset w:val="00"/>
    <w:family w:val="roman"/>
    <w:pitch w:val="default"/>
    <w:sig w:usb0="E00006FF" w:usb1="420024FF" w:usb2="02000000" w:usb3="00000000" w:csb0="2000019F"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Cambria Math">
    <w:panose1 w:val="02040503050406030204"/>
    <w:charset w:val="00"/>
    <w:family w:val="roman"/>
    <w:pitch w:val="default"/>
    <w:sig w:usb0="E00006FF" w:usb1="420024FF" w:usb2="02000000" w:usb3="00000000" w:csb0="2000019F" w:csb1="00000000"/>
  </w:font>
  <w:font w:name="Century Gothic">
    <w:panose1 w:val="020B0502020202020204"/>
    <w:charset w:val="00"/>
    <w:family w:val="swiss"/>
    <w:pitch w:val="default"/>
    <w:sig w:usb0="00000287" w:usb1="00000000" w:usb2="00000000" w:usb3="00000000" w:csb0="2000009F" w:csb1="DFD70000"/>
  </w:font>
  <w:font w:name="Tahoma">
    <w:panose1 w:val="020B0604030504040204"/>
    <w:charset w:val="00"/>
    <w:family w:val="auto"/>
    <w:pitch w:val="default"/>
    <w:sig w:usb0="E1002EFF" w:usb1="C000605B" w:usb2="00000029" w:usb3="00000000" w:csb0="200101FF" w:csb1="2028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637255"/>
    </w:sdtPr>
    <w:sdtContent>
      <w:p>
        <w:pPr>
          <w:pStyle w:val="23"/>
        </w:pPr>
        <w:r>
          <w:fldChar w:fldCharType="begin"/>
        </w:r>
        <w:r>
          <w:instrText xml:space="preserve"> PAGE   \* MERGEFORMAT </w:instrText>
        </w:r>
        <w:r>
          <w:fldChar w:fldCharType="separate"/>
        </w:r>
        <w:r>
          <w:rPr>
            <w:lang w:val="zh-CN"/>
          </w:rPr>
          <w:t>9</w:t>
        </w:r>
        <w:r>
          <w:rPr>
            <w:lang w:val="zh-C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9E511C"/>
    <w:multiLevelType w:val="multilevel"/>
    <w:tmpl w:val="009E511C"/>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062B5DB3"/>
    <w:multiLevelType w:val="multilevel"/>
    <w:tmpl w:val="062B5DB3"/>
    <w:lvl w:ilvl="0" w:tentative="0">
      <w:start w:val="1"/>
      <w:numFmt w:val="bullet"/>
      <w:lvlText w:val=""/>
      <w:lvlJc w:val="left"/>
      <w:pPr>
        <w:ind w:left="840" w:hanging="420"/>
      </w:pPr>
      <w:rPr>
        <w:rFonts w:hint="default" w:ascii="Wingdings" w:hAnsi="Wingdings"/>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
    <w:nsid w:val="073A5D15"/>
    <w:multiLevelType w:val="multilevel"/>
    <w:tmpl w:val="073A5D15"/>
    <w:lvl w:ilvl="0" w:tentative="0">
      <w:start w:val="1"/>
      <w:numFmt w:val="bullet"/>
      <w:pStyle w:val="155"/>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152B3C31"/>
    <w:multiLevelType w:val="multilevel"/>
    <w:tmpl w:val="152B3C31"/>
    <w:lvl w:ilvl="0" w:tentative="0">
      <w:start w:val="1"/>
      <w:numFmt w:val="decimal"/>
      <w:suff w:val="nothing"/>
      <w:lvlText w:val="%1  "/>
      <w:lvlJc w:val="left"/>
      <w:pPr>
        <w:ind w:left="-227" w:firstLine="0"/>
      </w:pPr>
      <w:rPr>
        <w:rFonts w:hint="default" w:ascii="Arial" w:hAnsi="Arial" w:cs="Arial"/>
        <w:b/>
        <w:bCs/>
        <w:i w:val="0"/>
        <w:iCs w:val="0"/>
        <w:caps w:val="0"/>
        <w:strike w:val="0"/>
        <w:dstrike w:val="0"/>
        <w:vanish w:val="0"/>
        <w:color w:val="800000"/>
        <w:sz w:val="72"/>
        <w:szCs w:val="72"/>
        <w:u w:val="none"/>
        <w:vertAlign w:val="baseline"/>
        <w14:shadow w14:blurRad="0" w14:dist="0" w14:dir="0" w14:sx="0" w14:sy="0" w14:kx="0" w14:ky="0" w14:algn="none">
          <w14:srgbClr w14:val="000000"/>
        </w14:shadow>
      </w:rPr>
    </w:lvl>
    <w:lvl w:ilvl="1" w:tentative="0">
      <w:start w:val="1"/>
      <w:numFmt w:val="decimal"/>
      <w:suff w:val="nothing"/>
      <w:lvlText w:val="%1.%2  "/>
      <w:lvlJc w:val="left"/>
      <w:pPr>
        <w:ind w:left="-227" w:firstLine="0"/>
      </w:pPr>
      <w:rPr>
        <w:rFonts w:hint="default" w:ascii="Arial" w:hAnsi="Arial" w:cs="Arial"/>
        <w:b/>
        <w:bCs/>
        <w:i w:val="0"/>
        <w:iCs w:val="0"/>
        <w:caps w:val="0"/>
        <w:strike w:val="0"/>
        <w:dstrike w:val="0"/>
        <w:vanish w:val="0"/>
        <w:color w:val="auto"/>
        <w:sz w:val="30"/>
        <w:szCs w:val="30"/>
        <w:vertAlign w:val="baseline"/>
        <w14:shadow w14:blurRad="0" w14:dist="0" w14:dir="0" w14:sx="0" w14:sy="0" w14:kx="0" w14:ky="0" w14:algn="none">
          <w14:srgbClr w14:val="000000"/>
        </w14:shadow>
      </w:rPr>
    </w:lvl>
    <w:lvl w:ilvl="2" w:tentative="0">
      <w:start w:val="1"/>
      <w:numFmt w:val="decimal"/>
      <w:suff w:val="nothing"/>
      <w:lvlText w:val="%1.%2.%3  "/>
      <w:lvlJc w:val="left"/>
      <w:pPr>
        <w:ind w:left="-227" w:firstLine="0"/>
      </w:pPr>
      <w:rPr>
        <w:rFonts w:hint="default" w:ascii="Arial" w:hAnsi="Arial" w:cs="Arial"/>
        <w:b/>
        <w:bCs/>
        <w:i w:val="0"/>
        <w:iCs w:val="0"/>
        <w:caps w:val="0"/>
        <w:strike w:val="0"/>
        <w:dstrike w:val="0"/>
        <w:vanish w:val="0"/>
        <w:color w:val="auto"/>
        <w:sz w:val="24"/>
        <w:szCs w:val="24"/>
        <w:vertAlign w:val="baseline"/>
        <w14:shadow w14:blurRad="0" w14:dist="0" w14:dir="0" w14:sx="0" w14:sy="0" w14:kx="0" w14:ky="0" w14:algn="none">
          <w14:srgbClr w14:val="000000"/>
        </w14:shadow>
      </w:rPr>
    </w:lvl>
    <w:lvl w:ilvl="3" w:tentative="0">
      <w:start w:val="1"/>
      <w:numFmt w:val="upperRoman"/>
      <w:suff w:val="nothing"/>
      <w:lvlText w:val="%4. "/>
      <w:lvlJc w:val="left"/>
      <w:pPr>
        <w:ind w:left="907" w:hanging="170"/>
      </w:pPr>
      <w:rPr>
        <w:rFonts w:hint="default" w:ascii="Arial" w:hAnsi="Arial" w:cs="Arial"/>
        <w:b/>
        <w:bCs/>
        <w:i w:val="0"/>
        <w:iCs w:val="0"/>
        <w:caps w:val="0"/>
        <w:strike w:val="0"/>
        <w:dstrike w:val="0"/>
        <w:vanish w:val="0"/>
        <w:color w:val="auto"/>
        <w:sz w:val="21"/>
        <w:szCs w:val="21"/>
        <w:vertAlign w:val="baseline"/>
        <w14:shadow w14:blurRad="0" w14:dist="0" w14:dir="0" w14:sx="0" w14:sy="0" w14:kx="0" w14:ky="0" w14:algn="none">
          <w14:srgbClr w14:val="000000"/>
        </w14:shadow>
      </w:rPr>
    </w:lvl>
    <w:lvl w:ilvl="4" w:tentative="0">
      <w:start w:val="1"/>
      <w:numFmt w:val="decimal"/>
      <w:lvlText w:val="%5)"/>
      <w:lvlJc w:val="left"/>
      <w:pPr>
        <w:tabs>
          <w:tab w:val="left" w:pos="1021"/>
        </w:tabs>
        <w:ind w:left="1021" w:hanging="397"/>
      </w:pPr>
      <w:rPr>
        <w:rFonts w:hint="default" w:ascii="Arial" w:hAnsi="Arial" w:eastAsia="宋体"/>
        <w:b w:val="0"/>
        <w:bCs w:val="0"/>
        <w:i w:val="0"/>
        <w:iCs w:val="0"/>
        <w:caps w:val="0"/>
        <w:strike w:val="0"/>
        <w:dstrike w:val="0"/>
        <w:snapToGrid/>
        <w:vanish w:val="0"/>
        <w:color w:val="auto"/>
        <w:spacing w:val="0"/>
        <w:w w:val="100"/>
        <w:kern w:val="0"/>
        <w:position w:val="0"/>
        <w:sz w:val="20"/>
        <w:szCs w:val="20"/>
        <w:u w:val="none"/>
        <w:vertAlign w:val="baseline"/>
        <w14:shadow w14:blurRad="0" w14:dist="0" w14:dir="0" w14:sx="0" w14:sy="0" w14:kx="0" w14:ky="0" w14:algn="none">
          <w14:srgbClr w14:val="000000"/>
        </w14:shadow>
      </w:rPr>
    </w:lvl>
    <w:lvl w:ilvl="5" w:tentative="0">
      <w:start w:val="1"/>
      <w:numFmt w:val="decimal"/>
      <w:lvlRestart w:val="1"/>
      <w:suff w:val="space"/>
      <w:lvlText w:val="Figure %1-%6"/>
      <w:lvlJc w:val="left"/>
      <w:pPr>
        <w:ind w:left="765" w:firstLine="0"/>
      </w:pPr>
      <w:rPr>
        <w:rFonts w:hint="default" w:ascii="Arial" w:hAnsi="Arial" w:cs="Arial Narrow"/>
        <w:b/>
        <w:bCs/>
        <w:i w:val="0"/>
        <w:iCs w:val="0"/>
        <w:color w:val="auto"/>
        <w:sz w:val="20"/>
        <w:szCs w:val="20"/>
        <w:u w:val="none"/>
      </w:rPr>
    </w:lvl>
    <w:lvl w:ilvl="6" w:tentative="0">
      <w:start w:val="1"/>
      <w:numFmt w:val="decimal"/>
      <w:lvlRestart w:val="1"/>
      <w:suff w:val="space"/>
      <w:lvlText w:val="Table %1-%7"/>
      <w:lvlJc w:val="left"/>
      <w:pPr>
        <w:ind w:left="765" w:hanging="141"/>
      </w:pPr>
      <w:rPr>
        <w:rFonts w:hint="default" w:ascii="Arial" w:hAnsi="Arial" w:eastAsia="宋体"/>
        <w:b/>
        <w:bCs/>
        <w:i w:val="0"/>
        <w:iCs w:val="0"/>
        <w:caps w:val="0"/>
        <w:strike w:val="0"/>
        <w:dstrike w:val="0"/>
        <w:snapToGrid/>
        <w:vanish w:val="0"/>
        <w:color w:val="auto"/>
        <w:spacing w:val="0"/>
        <w:w w:val="100"/>
        <w:kern w:val="0"/>
        <w:position w:val="0"/>
        <w:sz w:val="20"/>
        <w:szCs w:val="20"/>
        <w:vertAlign w:val="baseline"/>
        <w14:shadow w14:blurRad="0" w14:dist="0" w14:dir="0" w14:sx="0" w14:sy="0" w14:kx="0" w14:ky="0" w14:algn="none">
          <w14:srgbClr w14:val="000000"/>
        </w14:shadow>
      </w:rPr>
    </w:lvl>
    <w:lvl w:ilvl="7" w:tentative="0">
      <w:start w:val="1"/>
      <w:numFmt w:val="none"/>
      <w:pStyle w:val="43"/>
      <w:suff w:val="nothing"/>
      <w:lvlText w:val=""/>
      <w:lvlJc w:val="left"/>
      <w:pPr>
        <w:ind w:left="-227" w:firstLine="0"/>
      </w:pPr>
      <w:rPr>
        <w:rFonts w:hint="eastAsia"/>
      </w:rPr>
    </w:lvl>
    <w:lvl w:ilvl="8" w:tentative="0">
      <w:start w:val="1"/>
      <w:numFmt w:val="decimal"/>
      <w:lvlText w:val="Step%9"/>
      <w:lvlJc w:val="left"/>
      <w:pPr>
        <w:tabs>
          <w:tab w:val="left" w:pos="907"/>
        </w:tabs>
        <w:ind w:left="907" w:hanging="850"/>
      </w:pPr>
      <w:rPr>
        <w:rFonts w:hint="default" w:ascii="Arial" w:hAnsi="Arial" w:cs="Arial"/>
        <w:b w:val="0"/>
        <w:bCs w:val="0"/>
        <w:i w:val="0"/>
        <w:iCs w:val="0"/>
        <w:caps w:val="0"/>
        <w:strike w:val="0"/>
        <w:dstrike w:val="0"/>
        <w:vanish w:val="0"/>
        <w:color w:val="auto"/>
        <w:sz w:val="20"/>
        <w:szCs w:val="20"/>
        <w:vertAlign w:val="baseline"/>
        <w14:shadow w14:blurRad="0" w14:dist="0" w14:dir="0" w14:sx="0" w14:sy="0" w14:kx="0" w14:ky="0" w14:algn="none">
          <w14:srgbClr w14:val="000000"/>
        </w14:shadow>
      </w:rPr>
    </w:lvl>
  </w:abstractNum>
  <w:abstractNum w:abstractNumId="4">
    <w:nsid w:val="1D4E7CA8"/>
    <w:multiLevelType w:val="multilevel"/>
    <w:tmpl w:val="1D4E7CA8"/>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5">
    <w:nsid w:val="21306BFC"/>
    <w:multiLevelType w:val="multilevel"/>
    <w:tmpl w:val="21306BF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23BC1125"/>
    <w:multiLevelType w:val="multilevel"/>
    <w:tmpl w:val="23BC1125"/>
    <w:lvl w:ilvl="0" w:tentative="0">
      <w:start w:val="1"/>
      <w:numFmt w:val="decimal"/>
      <w:pStyle w:val="4"/>
      <w:suff w:val="nothing"/>
      <w:lvlText w:val="%1  "/>
      <w:lvlJc w:val="left"/>
      <w:pPr>
        <w:ind w:left="0" w:firstLine="0"/>
      </w:pPr>
      <w:rPr>
        <w:rFonts w:hint="default" w:ascii="Arial" w:hAnsi="Arial" w:eastAsia="宋体" w:cs="Arial"/>
        <w:b/>
        <w:bCs/>
        <w:i w:val="0"/>
        <w:iCs w:val="0"/>
        <w:caps w:val="0"/>
        <w:strike w:val="0"/>
        <w:dstrike w:val="0"/>
        <w:vanish w:val="0"/>
        <w:color w:val="800000"/>
        <w:sz w:val="36"/>
        <w:szCs w:val="48"/>
        <w:vertAlign w:val="baseline"/>
        <w14:shadow w14:blurRad="0" w14:dist="0" w14:dir="0" w14:sx="0" w14:sy="0" w14:kx="0" w14:ky="0" w14:algn="none">
          <w14:srgbClr w14:val="000000"/>
        </w14:shadow>
      </w:rPr>
    </w:lvl>
    <w:lvl w:ilvl="1" w:tentative="0">
      <w:start w:val="1"/>
      <w:numFmt w:val="decimal"/>
      <w:pStyle w:val="5"/>
      <w:suff w:val="nothing"/>
      <w:lvlText w:val="%1.%2  "/>
      <w:lvlJc w:val="left"/>
      <w:pPr>
        <w:ind w:left="0" w:firstLine="0"/>
      </w:pPr>
      <w:rPr>
        <w:rFonts w:hint="default" w:ascii="Arial" w:hAnsi="Arial" w:eastAsia="黑体" w:cs="Arial"/>
        <w:b w:val="0"/>
        <w:bCs/>
        <w:i w:val="0"/>
        <w:iCs w:val="0"/>
        <w:caps w:val="0"/>
        <w:strike w:val="0"/>
        <w:dstrike w:val="0"/>
        <w:vanish w:val="0"/>
        <w:color w:val="800000"/>
        <w:sz w:val="30"/>
        <w:szCs w:val="30"/>
        <w:vertAlign w:val="baseline"/>
        <w14:shadow w14:blurRad="0" w14:dist="0" w14:dir="0" w14:sx="0" w14:sy="0" w14:kx="0" w14:ky="0" w14:algn="none">
          <w14:srgbClr w14:val="000000"/>
        </w14:shadow>
      </w:rPr>
    </w:lvl>
    <w:lvl w:ilvl="2" w:tentative="0">
      <w:start w:val="1"/>
      <w:numFmt w:val="decimal"/>
      <w:pStyle w:val="6"/>
      <w:suff w:val="nothing"/>
      <w:lvlText w:val="%1.%2.%3  "/>
      <w:lvlJc w:val="left"/>
      <w:pPr>
        <w:ind w:left="425" w:firstLine="0"/>
      </w:pPr>
      <w:rPr>
        <w:rFonts w:hint="default" w:ascii="Arial" w:hAnsi="Arial" w:eastAsia="黑体" w:cs="Arial"/>
        <w:b w:val="0"/>
        <w:bCs/>
        <w:i w:val="0"/>
        <w:iCs w:val="0"/>
        <w:caps w:val="0"/>
        <w:strike w:val="0"/>
        <w:dstrike w:val="0"/>
        <w:vanish w:val="0"/>
        <w:color w:val="800000"/>
        <w:sz w:val="24"/>
        <w:szCs w:val="24"/>
        <w:vertAlign w:val="baseline"/>
        <w14:shadow w14:blurRad="0" w14:dist="0" w14:dir="0" w14:sx="0" w14:sy="0" w14:kx="0" w14:ky="0" w14:algn="none">
          <w14:srgbClr w14:val="000000"/>
        </w14:shadow>
      </w:rPr>
    </w:lvl>
    <w:lvl w:ilvl="3" w:tentative="0">
      <w:start w:val="1"/>
      <w:numFmt w:val="decimal"/>
      <w:pStyle w:val="7"/>
      <w:suff w:val="nothing"/>
      <w:lvlText w:val="%4. "/>
      <w:lvlJc w:val="left"/>
      <w:pPr>
        <w:ind w:left="85" w:firstLine="624"/>
      </w:pPr>
      <w:rPr>
        <w:rFonts w:hint="default" w:ascii="Arial" w:hAnsi="Arial" w:eastAsia="黑体" w:cs="Arial"/>
        <w:b w:val="0"/>
        <w:bCs/>
        <w:i w:val="0"/>
        <w:iCs w:val="0"/>
        <w:caps w:val="0"/>
        <w:strike w:val="0"/>
        <w:dstrike w:val="0"/>
        <w:vanish w:val="0"/>
        <w:color w:val="800000"/>
        <w:sz w:val="24"/>
        <w:szCs w:val="24"/>
        <w:vertAlign w:val="baseline"/>
        <w14:shadow w14:blurRad="0" w14:dist="0" w14:dir="0" w14:sx="0" w14:sy="0" w14:kx="0" w14:ky="0" w14:algn="none">
          <w14:srgbClr w14:val="000000"/>
        </w14:shadow>
      </w:rPr>
    </w:lvl>
    <w:lvl w:ilvl="4" w:tentative="0">
      <w:start w:val="1"/>
      <w:numFmt w:val="decimal"/>
      <w:lvlText w:val="(%5)"/>
      <w:lvlJc w:val="left"/>
      <w:pPr>
        <w:tabs>
          <w:tab w:val="left" w:pos="1134"/>
        </w:tabs>
        <w:ind w:left="1134" w:hanging="510"/>
      </w:pPr>
      <w:rPr>
        <w:rFonts w:hint="default" w:ascii="Arial" w:hAnsi="Arial" w:eastAsia="宋体"/>
        <w:b w:val="0"/>
        <w:bCs w:val="0"/>
        <w:i w:val="0"/>
        <w:iCs w:val="0"/>
        <w:color w:val="auto"/>
        <w:sz w:val="21"/>
        <w:szCs w:val="20"/>
        <w:u w:val="none"/>
      </w:rPr>
    </w:lvl>
    <w:lvl w:ilvl="5" w:tentative="0">
      <w:start w:val="1"/>
      <w:numFmt w:val="decimal"/>
      <w:lvlRestart w:val="0"/>
      <w:pStyle w:val="51"/>
      <w:suff w:val="space"/>
      <w:lvlText w:val="图%6"/>
      <w:lvlJc w:val="left"/>
      <w:pPr>
        <w:ind w:left="0" w:firstLine="624"/>
      </w:pPr>
      <w:rPr>
        <w:rFonts w:hint="default" w:ascii="Arial" w:hAnsi="Arial" w:eastAsia="黑体" w:cs="Arial Narrow"/>
        <w:b w:val="0"/>
        <w:bCs/>
        <w:i w:val="0"/>
        <w:iCs w:val="0"/>
        <w:color w:val="auto"/>
        <w:sz w:val="21"/>
        <w:szCs w:val="20"/>
        <w:u w:val="none"/>
      </w:rPr>
    </w:lvl>
    <w:lvl w:ilvl="6" w:tentative="0">
      <w:start w:val="1"/>
      <w:numFmt w:val="decimal"/>
      <w:lvlRestart w:val="0"/>
      <w:pStyle w:val="46"/>
      <w:suff w:val="space"/>
      <w:lvlText w:val="表%7"/>
      <w:lvlJc w:val="left"/>
      <w:pPr>
        <w:ind w:left="1134" w:hanging="510"/>
      </w:pPr>
      <w:rPr>
        <w:rFonts w:hint="default" w:ascii="Arial" w:hAnsi="Arial" w:eastAsia="黑体"/>
        <w:b w:val="0"/>
        <w:bCs/>
        <w:i w:val="0"/>
        <w:iCs w:val="0"/>
        <w:caps w:val="0"/>
        <w:strike w:val="0"/>
        <w:dstrike w:val="0"/>
        <w:vanish w:val="0"/>
        <w:color w:val="auto"/>
        <w:spacing w:val="0"/>
        <w:w w:val="100"/>
        <w:kern w:val="0"/>
        <w:position w:val="0"/>
        <w:sz w:val="21"/>
        <w:szCs w:val="18"/>
        <w:vertAlign w:val="baseline"/>
        <w14:shadow w14:blurRad="0" w14:dist="0" w14:dir="0" w14:sx="0" w14:sy="0" w14:kx="0" w14:ky="0" w14:algn="none">
          <w14:srgbClr w14:val="000000"/>
        </w14:shadow>
      </w:rPr>
    </w:lvl>
    <w:lvl w:ilvl="7" w:tentative="0">
      <w:start w:val="1"/>
      <w:numFmt w:val="lowerLetter"/>
      <w:lvlRestart w:val="5"/>
      <w:pStyle w:val="66"/>
      <w:lvlText w:val="%8."/>
      <w:lvlJc w:val="left"/>
      <w:pPr>
        <w:tabs>
          <w:tab w:val="left" w:pos="1418"/>
        </w:tabs>
        <w:ind w:left="1418" w:hanging="284"/>
      </w:pPr>
      <w:rPr>
        <w:rFonts w:hint="default" w:ascii="Arial" w:hAnsi="Arial" w:eastAsia="宋体"/>
        <w:color w:val="auto"/>
        <w:sz w:val="21"/>
        <w:szCs w:val="18"/>
      </w:rPr>
    </w:lvl>
    <w:lvl w:ilvl="8" w:tentative="0">
      <w:start w:val="1"/>
      <w:numFmt w:val="decimal"/>
      <w:lvlRestart w:val="4"/>
      <w:pStyle w:val="44"/>
      <w:lvlText w:val="步骤%9"/>
      <w:lvlJc w:val="left"/>
      <w:pPr>
        <w:tabs>
          <w:tab w:val="left" w:pos="737"/>
        </w:tabs>
        <w:ind w:left="737" w:hanging="737"/>
      </w:pPr>
      <w:rPr>
        <w:rFonts w:hint="default" w:ascii="Arial" w:hAnsi="Arial" w:eastAsia="宋体" w:cs="Arial"/>
        <w:b/>
        <w:bCs w:val="0"/>
        <w:i w:val="0"/>
        <w:iCs w:val="0"/>
        <w:caps w:val="0"/>
        <w:strike w:val="0"/>
        <w:dstrike w:val="0"/>
        <w:vanish w:val="0"/>
        <w:color w:val="auto"/>
        <w:sz w:val="21"/>
        <w:szCs w:val="18"/>
        <w:vertAlign w:val="baseline"/>
        <w14:shadow w14:blurRad="0" w14:dist="0" w14:dir="0" w14:sx="0" w14:sy="0" w14:kx="0" w14:ky="0" w14:algn="none">
          <w14:srgbClr w14:val="000000"/>
        </w14:shadow>
      </w:rPr>
    </w:lvl>
  </w:abstractNum>
  <w:abstractNum w:abstractNumId="7">
    <w:nsid w:val="24837EDD"/>
    <w:multiLevelType w:val="multilevel"/>
    <w:tmpl w:val="24837EDD"/>
    <w:lvl w:ilvl="0" w:tentative="0">
      <w:start w:val="1"/>
      <w:numFmt w:val="bullet"/>
      <w:lvlText w:val=""/>
      <w:lvlJc w:val="left"/>
      <w:pPr>
        <w:ind w:left="1044" w:hanging="420"/>
      </w:pPr>
      <w:rPr>
        <w:rFonts w:hint="default" w:ascii="Wingdings" w:hAnsi="Wingdings"/>
      </w:rPr>
    </w:lvl>
    <w:lvl w:ilvl="1" w:tentative="0">
      <w:start w:val="1"/>
      <w:numFmt w:val="bullet"/>
      <w:lvlText w:val=""/>
      <w:lvlJc w:val="left"/>
      <w:pPr>
        <w:ind w:left="1464" w:hanging="420"/>
      </w:pPr>
      <w:rPr>
        <w:rFonts w:hint="default" w:ascii="Wingdings" w:hAnsi="Wingdings"/>
      </w:rPr>
    </w:lvl>
    <w:lvl w:ilvl="2" w:tentative="0">
      <w:start w:val="1"/>
      <w:numFmt w:val="bullet"/>
      <w:lvlText w:val=""/>
      <w:lvlJc w:val="left"/>
      <w:pPr>
        <w:ind w:left="1884" w:hanging="420"/>
      </w:pPr>
      <w:rPr>
        <w:rFonts w:hint="default" w:ascii="Wingdings" w:hAnsi="Wingdings"/>
      </w:rPr>
    </w:lvl>
    <w:lvl w:ilvl="3" w:tentative="0">
      <w:start w:val="1"/>
      <w:numFmt w:val="bullet"/>
      <w:lvlText w:val=""/>
      <w:lvlJc w:val="left"/>
      <w:pPr>
        <w:ind w:left="2304" w:hanging="420"/>
      </w:pPr>
      <w:rPr>
        <w:rFonts w:hint="default" w:ascii="Wingdings" w:hAnsi="Wingdings"/>
      </w:rPr>
    </w:lvl>
    <w:lvl w:ilvl="4" w:tentative="0">
      <w:start w:val="1"/>
      <w:numFmt w:val="bullet"/>
      <w:lvlText w:val=""/>
      <w:lvlJc w:val="left"/>
      <w:pPr>
        <w:ind w:left="2724" w:hanging="420"/>
      </w:pPr>
      <w:rPr>
        <w:rFonts w:hint="default" w:ascii="Wingdings" w:hAnsi="Wingdings"/>
      </w:rPr>
    </w:lvl>
    <w:lvl w:ilvl="5" w:tentative="0">
      <w:start w:val="1"/>
      <w:numFmt w:val="bullet"/>
      <w:lvlText w:val=""/>
      <w:lvlJc w:val="left"/>
      <w:pPr>
        <w:ind w:left="3144" w:hanging="420"/>
      </w:pPr>
      <w:rPr>
        <w:rFonts w:hint="default" w:ascii="Wingdings" w:hAnsi="Wingdings"/>
      </w:rPr>
    </w:lvl>
    <w:lvl w:ilvl="6" w:tentative="0">
      <w:start w:val="1"/>
      <w:numFmt w:val="bullet"/>
      <w:lvlText w:val=""/>
      <w:lvlJc w:val="left"/>
      <w:pPr>
        <w:ind w:left="3564" w:hanging="420"/>
      </w:pPr>
      <w:rPr>
        <w:rFonts w:hint="default" w:ascii="Wingdings" w:hAnsi="Wingdings"/>
      </w:rPr>
    </w:lvl>
    <w:lvl w:ilvl="7" w:tentative="0">
      <w:start w:val="1"/>
      <w:numFmt w:val="bullet"/>
      <w:lvlText w:val=""/>
      <w:lvlJc w:val="left"/>
      <w:pPr>
        <w:ind w:left="3984" w:hanging="420"/>
      </w:pPr>
      <w:rPr>
        <w:rFonts w:hint="default" w:ascii="Wingdings" w:hAnsi="Wingdings"/>
      </w:rPr>
    </w:lvl>
    <w:lvl w:ilvl="8" w:tentative="0">
      <w:start w:val="1"/>
      <w:numFmt w:val="bullet"/>
      <w:lvlText w:val=""/>
      <w:lvlJc w:val="left"/>
      <w:pPr>
        <w:ind w:left="4404" w:hanging="420"/>
      </w:pPr>
      <w:rPr>
        <w:rFonts w:hint="default" w:ascii="Wingdings" w:hAnsi="Wingdings"/>
      </w:rPr>
    </w:lvl>
  </w:abstractNum>
  <w:abstractNum w:abstractNumId="8">
    <w:nsid w:val="28950DD1"/>
    <w:multiLevelType w:val="multilevel"/>
    <w:tmpl w:val="28950DD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2D7061CF"/>
    <w:multiLevelType w:val="multilevel"/>
    <w:tmpl w:val="2D7061CF"/>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0">
    <w:nsid w:val="324A7125"/>
    <w:multiLevelType w:val="multilevel"/>
    <w:tmpl w:val="324A712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32F6545D"/>
    <w:multiLevelType w:val="multilevel"/>
    <w:tmpl w:val="32F6545D"/>
    <w:lvl w:ilvl="0" w:tentative="0">
      <w:start w:val="1"/>
      <w:numFmt w:val="decimal"/>
      <w:lvlText w:val="%1）"/>
      <w:lvlJc w:val="left"/>
      <w:pPr>
        <w:ind w:left="984" w:hanging="360"/>
      </w:pPr>
      <w:rPr>
        <w:rFonts w:hint="default" w:ascii="Arial" w:hAnsi="Arial"/>
      </w:rPr>
    </w:lvl>
    <w:lvl w:ilvl="1" w:tentative="0">
      <w:start w:val="1"/>
      <w:numFmt w:val="decimal"/>
      <w:lvlText w:val="%2、"/>
      <w:lvlJc w:val="left"/>
      <w:pPr>
        <w:ind w:left="1404" w:hanging="360"/>
      </w:pPr>
      <w:rPr>
        <w:rFonts w:hint="default"/>
      </w:rPr>
    </w:lvl>
    <w:lvl w:ilvl="2" w:tentative="0">
      <w:start w:val="1"/>
      <w:numFmt w:val="lowerRoman"/>
      <w:lvlText w:val="%3."/>
      <w:lvlJc w:val="right"/>
      <w:pPr>
        <w:ind w:left="1884" w:hanging="420"/>
      </w:pPr>
    </w:lvl>
    <w:lvl w:ilvl="3" w:tentative="0">
      <w:start w:val="1"/>
      <w:numFmt w:val="decimal"/>
      <w:lvlText w:val="%4."/>
      <w:lvlJc w:val="left"/>
      <w:pPr>
        <w:ind w:left="2304" w:hanging="420"/>
      </w:pPr>
    </w:lvl>
    <w:lvl w:ilvl="4" w:tentative="0">
      <w:start w:val="1"/>
      <w:numFmt w:val="lowerLetter"/>
      <w:lvlText w:val="%5)"/>
      <w:lvlJc w:val="left"/>
      <w:pPr>
        <w:ind w:left="2724" w:hanging="420"/>
      </w:pPr>
    </w:lvl>
    <w:lvl w:ilvl="5" w:tentative="0">
      <w:start w:val="1"/>
      <w:numFmt w:val="lowerRoman"/>
      <w:lvlText w:val="%6."/>
      <w:lvlJc w:val="right"/>
      <w:pPr>
        <w:ind w:left="3144" w:hanging="420"/>
      </w:pPr>
    </w:lvl>
    <w:lvl w:ilvl="6" w:tentative="0">
      <w:start w:val="1"/>
      <w:numFmt w:val="decimal"/>
      <w:lvlText w:val="%7."/>
      <w:lvlJc w:val="left"/>
      <w:pPr>
        <w:ind w:left="3564" w:hanging="420"/>
      </w:pPr>
    </w:lvl>
    <w:lvl w:ilvl="7" w:tentative="0">
      <w:start w:val="1"/>
      <w:numFmt w:val="lowerLetter"/>
      <w:lvlText w:val="%8)"/>
      <w:lvlJc w:val="left"/>
      <w:pPr>
        <w:ind w:left="3984" w:hanging="420"/>
      </w:pPr>
    </w:lvl>
    <w:lvl w:ilvl="8" w:tentative="0">
      <w:start w:val="1"/>
      <w:numFmt w:val="lowerRoman"/>
      <w:lvlText w:val="%9."/>
      <w:lvlJc w:val="right"/>
      <w:pPr>
        <w:ind w:left="4404" w:hanging="420"/>
      </w:pPr>
    </w:lvl>
  </w:abstractNum>
  <w:abstractNum w:abstractNumId="12">
    <w:nsid w:val="332001A1"/>
    <w:multiLevelType w:val="multilevel"/>
    <w:tmpl w:val="332001A1"/>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3">
    <w:nsid w:val="33631F8C"/>
    <w:multiLevelType w:val="multilevel"/>
    <w:tmpl w:val="33631F8C"/>
    <w:lvl w:ilvl="0" w:tentative="0">
      <w:start w:val="1"/>
      <w:numFmt w:val="bullet"/>
      <w:lvlText w:val=""/>
      <w:lvlJc w:val="left"/>
      <w:pPr>
        <w:ind w:left="1044" w:hanging="420"/>
      </w:pPr>
      <w:rPr>
        <w:rFonts w:hint="default" w:ascii="Wingdings" w:hAnsi="Wingdings"/>
      </w:rPr>
    </w:lvl>
    <w:lvl w:ilvl="1" w:tentative="0">
      <w:start w:val="1"/>
      <w:numFmt w:val="bullet"/>
      <w:lvlText w:val=""/>
      <w:lvlJc w:val="left"/>
      <w:pPr>
        <w:ind w:left="1464" w:hanging="420"/>
      </w:pPr>
      <w:rPr>
        <w:rFonts w:hint="default" w:ascii="Wingdings" w:hAnsi="Wingdings"/>
      </w:rPr>
    </w:lvl>
    <w:lvl w:ilvl="2" w:tentative="0">
      <w:start w:val="1"/>
      <w:numFmt w:val="bullet"/>
      <w:lvlText w:val=""/>
      <w:lvlJc w:val="left"/>
      <w:pPr>
        <w:ind w:left="1884" w:hanging="420"/>
      </w:pPr>
      <w:rPr>
        <w:rFonts w:hint="default" w:ascii="Wingdings" w:hAnsi="Wingdings"/>
      </w:rPr>
    </w:lvl>
    <w:lvl w:ilvl="3" w:tentative="0">
      <w:start w:val="1"/>
      <w:numFmt w:val="bullet"/>
      <w:lvlText w:val=""/>
      <w:lvlJc w:val="left"/>
      <w:pPr>
        <w:ind w:left="2304" w:hanging="420"/>
      </w:pPr>
      <w:rPr>
        <w:rFonts w:hint="default" w:ascii="Wingdings" w:hAnsi="Wingdings"/>
      </w:rPr>
    </w:lvl>
    <w:lvl w:ilvl="4" w:tentative="0">
      <w:start w:val="1"/>
      <w:numFmt w:val="bullet"/>
      <w:lvlText w:val=""/>
      <w:lvlJc w:val="left"/>
      <w:pPr>
        <w:ind w:left="2724" w:hanging="420"/>
      </w:pPr>
      <w:rPr>
        <w:rFonts w:hint="default" w:ascii="Wingdings" w:hAnsi="Wingdings"/>
      </w:rPr>
    </w:lvl>
    <w:lvl w:ilvl="5" w:tentative="0">
      <w:start w:val="1"/>
      <w:numFmt w:val="bullet"/>
      <w:lvlText w:val=""/>
      <w:lvlJc w:val="left"/>
      <w:pPr>
        <w:ind w:left="3144" w:hanging="420"/>
      </w:pPr>
      <w:rPr>
        <w:rFonts w:hint="default" w:ascii="Wingdings" w:hAnsi="Wingdings"/>
      </w:rPr>
    </w:lvl>
    <w:lvl w:ilvl="6" w:tentative="0">
      <w:start w:val="1"/>
      <w:numFmt w:val="bullet"/>
      <w:lvlText w:val=""/>
      <w:lvlJc w:val="left"/>
      <w:pPr>
        <w:ind w:left="3564" w:hanging="420"/>
      </w:pPr>
      <w:rPr>
        <w:rFonts w:hint="default" w:ascii="Wingdings" w:hAnsi="Wingdings"/>
      </w:rPr>
    </w:lvl>
    <w:lvl w:ilvl="7" w:tentative="0">
      <w:start w:val="1"/>
      <w:numFmt w:val="bullet"/>
      <w:lvlText w:val=""/>
      <w:lvlJc w:val="left"/>
      <w:pPr>
        <w:ind w:left="3984" w:hanging="420"/>
      </w:pPr>
      <w:rPr>
        <w:rFonts w:hint="default" w:ascii="Wingdings" w:hAnsi="Wingdings"/>
      </w:rPr>
    </w:lvl>
    <w:lvl w:ilvl="8" w:tentative="0">
      <w:start w:val="1"/>
      <w:numFmt w:val="bullet"/>
      <w:lvlText w:val=""/>
      <w:lvlJc w:val="left"/>
      <w:pPr>
        <w:ind w:left="4404" w:hanging="420"/>
      </w:pPr>
      <w:rPr>
        <w:rFonts w:hint="default" w:ascii="Wingdings" w:hAnsi="Wingdings"/>
      </w:rPr>
    </w:lvl>
  </w:abstractNum>
  <w:abstractNum w:abstractNumId="14">
    <w:nsid w:val="364A61B8"/>
    <w:multiLevelType w:val="multilevel"/>
    <w:tmpl w:val="364A61B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3B2400E1"/>
    <w:multiLevelType w:val="multilevel"/>
    <w:tmpl w:val="3B2400E1"/>
    <w:lvl w:ilvl="0" w:tentative="0">
      <w:start w:val="1"/>
      <w:numFmt w:val="bullet"/>
      <w:lvlText w:val=""/>
      <w:lvlJc w:val="left"/>
      <w:pPr>
        <w:ind w:left="1140" w:hanging="420"/>
      </w:pPr>
      <w:rPr>
        <w:rFonts w:hint="default" w:ascii="Wingdings" w:hAnsi="Wingdings"/>
        <w:color w:val="0070C0"/>
      </w:rPr>
    </w:lvl>
    <w:lvl w:ilvl="1" w:tentative="0">
      <w:start w:val="1"/>
      <w:numFmt w:val="bullet"/>
      <w:lvlText w:val=""/>
      <w:lvlJc w:val="left"/>
      <w:pPr>
        <w:ind w:left="1560" w:hanging="420"/>
      </w:pPr>
      <w:rPr>
        <w:rFonts w:hint="default" w:ascii="Wingdings" w:hAnsi="Wingdings"/>
      </w:rPr>
    </w:lvl>
    <w:lvl w:ilvl="2" w:tentative="0">
      <w:start w:val="1"/>
      <w:numFmt w:val="bullet"/>
      <w:lvlText w:val=""/>
      <w:lvlJc w:val="left"/>
      <w:pPr>
        <w:ind w:left="1980" w:hanging="420"/>
      </w:pPr>
      <w:rPr>
        <w:rFonts w:hint="default" w:ascii="Wingdings" w:hAnsi="Wingdings"/>
      </w:rPr>
    </w:lvl>
    <w:lvl w:ilvl="3" w:tentative="0">
      <w:start w:val="1"/>
      <w:numFmt w:val="bullet"/>
      <w:lvlText w:val=""/>
      <w:lvlJc w:val="left"/>
      <w:pPr>
        <w:ind w:left="2400" w:hanging="420"/>
      </w:pPr>
      <w:rPr>
        <w:rFonts w:hint="default" w:ascii="Wingdings" w:hAnsi="Wingdings"/>
      </w:rPr>
    </w:lvl>
    <w:lvl w:ilvl="4" w:tentative="0">
      <w:start w:val="1"/>
      <w:numFmt w:val="bullet"/>
      <w:lvlText w:val=""/>
      <w:lvlJc w:val="left"/>
      <w:pPr>
        <w:ind w:left="2820" w:hanging="420"/>
      </w:pPr>
      <w:rPr>
        <w:rFonts w:hint="default" w:ascii="Wingdings" w:hAnsi="Wingdings"/>
      </w:rPr>
    </w:lvl>
    <w:lvl w:ilvl="5" w:tentative="0">
      <w:start w:val="1"/>
      <w:numFmt w:val="bullet"/>
      <w:lvlText w:val=""/>
      <w:lvlJc w:val="left"/>
      <w:pPr>
        <w:ind w:left="3240" w:hanging="420"/>
      </w:pPr>
      <w:rPr>
        <w:rFonts w:hint="default" w:ascii="Wingdings" w:hAnsi="Wingdings"/>
      </w:rPr>
    </w:lvl>
    <w:lvl w:ilvl="6" w:tentative="0">
      <w:start w:val="1"/>
      <w:numFmt w:val="bullet"/>
      <w:lvlText w:val=""/>
      <w:lvlJc w:val="left"/>
      <w:pPr>
        <w:ind w:left="3660" w:hanging="420"/>
      </w:pPr>
      <w:rPr>
        <w:rFonts w:hint="default" w:ascii="Wingdings" w:hAnsi="Wingdings"/>
      </w:rPr>
    </w:lvl>
    <w:lvl w:ilvl="7" w:tentative="0">
      <w:start w:val="1"/>
      <w:numFmt w:val="bullet"/>
      <w:lvlText w:val=""/>
      <w:lvlJc w:val="left"/>
      <w:pPr>
        <w:ind w:left="4080" w:hanging="420"/>
      </w:pPr>
      <w:rPr>
        <w:rFonts w:hint="default" w:ascii="Wingdings" w:hAnsi="Wingdings"/>
      </w:rPr>
    </w:lvl>
    <w:lvl w:ilvl="8" w:tentative="0">
      <w:start w:val="1"/>
      <w:numFmt w:val="bullet"/>
      <w:lvlText w:val=""/>
      <w:lvlJc w:val="left"/>
      <w:pPr>
        <w:ind w:left="4500" w:hanging="420"/>
      </w:pPr>
      <w:rPr>
        <w:rFonts w:hint="default" w:ascii="Wingdings" w:hAnsi="Wingdings"/>
      </w:rPr>
    </w:lvl>
  </w:abstractNum>
  <w:abstractNum w:abstractNumId="16">
    <w:nsid w:val="3B3F119F"/>
    <w:multiLevelType w:val="multilevel"/>
    <w:tmpl w:val="3B3F119F"/>
    <w:lvl w:ilvl="0" w:tentative="0">
      <w:start w:val="1"/>
      <w:numFmt w:val="bullet"/>
      <w:lvlText w:val=""/>
      <w:lvlJc w:val="left"/>
      <w:pPr>
        <w:ind w:left="420" w:hanging="420"/>
      </w:pPr>
      <w:rPr>
        <w:rFonts w:hint="default" w:ascii="Wingdings" w:hAnsi="Wingdings"/>
        <w:color w:val="0070C0"/>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7">
    <w:nsid w:val="3C497CBF"/>
    <w:multiLevelType w:val="multilevel"/>
    <w:tmpl w:val="3C497CBF"/>
    <w:lvl w:ilvl="0" w:tentative="0">
      <w:start w:val="1"/>
      <w:numFmt w:val="decimal"/>
      <w:lvlText w:val="%1)"/>
      <w:lvlJc w:val="left"/>
      <w:pPr>
        <w:ind w:left="840" w:hanging="42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8">
    <w:nsid w:val="3EF02B69"/>
    <w:multiLevelType w:val="multilevel"/>
    <w:tmpl w:val="3EF02B69"/>
    <w:lvl w:ilvl="0" w:tentative="0">
      <w:start w:val="1"/>
      <w:numFmt w:val="bullet"/>
      <w:lvlText w:val="•"/>
      <w:lvlJc w:val="left"/>
      <w:pPr>
        <w:ind w:left="840" w:hanging="420"/>
      </w:pPr>
      <w:rPr>
        <w:rFonts w:hint="default" w:ascii="Arial" w:hAnsi="Arial"/>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19">
    <w:nsid w:val="3F1A0C82"/>
    <w:multiLevelType w:val="multilevel"/>
    <w:tmpl w:val="3F1A0C82"/>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0">
    <w:nsid w:val="401C3182"/>
    <w:multiLevelType w:val="multilevel"/>
    <w:tmpl w:val="401C3182"/>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1">
    <w:nsid w:val="4219739E"/>
    <w:multiLevelType w:val="multilevel"/>
    <w:tmpl w:val="4219739E"/>
    <w:lvl w:ilvl="0" w:tentative="0">
      <w:start w:val="1"/>
      <w:numFmt w:val="decimal"/>
      <w:lvlText w:val="%1."/>
      <w:lvlJc w:val="left"/>
      <w:pPr>
        <w:ind w:left="780" w:hanging="36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2">
    <w:nsid w:val="44121AA6"/>
    <w:multiLevelType w:val="multilevel"/>
    <w:tmpl w:val="44121AA6"/>
    <w:lvl w:ilvl="0" w:tentative="0">
      <w:start w:val="1"/>
      <w:numFmt w:val="decimal"/>
      <w:pStyle w:val="68"/>
      <w:lvlText w:val="(%1)"/>
      <w:lvlJc w:val="left"/>
      <w:pPr>
        <w:tabs>
          <w:tab w:val="left" w:pos="397"/>
        </w:tabs>
        <w:ind w:left="397" w:hanging="397"/>
      </w:pPr>
      <w:rPr>
        <w:rFonts w:hint="default" w:ascii="Arial" w:hAnsi="Arial" w:eastAsia="宋体"/>
        <w:b w:val="0"/>
        <w:i w:val="0"/>
        <w:color w:val="auto"/>
        <w:sz w:val="18"/>
        <w:szCs w:val="18"/>
      </w:rPr>
    </w:lvl>
    <w:lvl w:ilvl="1" w:tentative="0">
      <w:start w:val="1"/>
      <w:numFmt w:val="lowerLetter"/>
      <w:pStyle w:val="69"/>
      <w:lvlText w:val="%2."/>
      <w:lvlJc w:val="left"/>
      <w:pPr>
        <w:tabs>
          <w:tab w:val="left" w:pos="680"/>
        </w:tabs>
        <w:ind w:left="680" w:hanging="283"/>
      </w:pPr>
      <w:rPr>
        <w:rFonts w:hint="default" w:ascii="Arial" w:hAnsi="Arial" w:eastAsia="宋体"/>
        <w:color w:val="auto"/>
        <w:sz w:val="18"/>
      </w:rPr>
    </w:lvl>
    <w:lvl w:ilvl="2" w:tentative="0">
      <w:start w:val="1"/>
      <w:numFmt w:val="none"/>
      <w:lvlText w:val=""/>
      <w:lvlJc w:val="right"/>
      <w:pPr>
        <w:tabs>
          <w:tab w:val="left" w:pos="1260"/>
        </w:tabs>
        <w:ind w:left="1259" w:hanging="419"/>
      </w:pPr>
      <w:rPr>
        <w:rFonts w:hint="eastAsia"/>
      </w:rPr>
    </w:lvl>
    <w:lvl w:ilvl="3" w:tentative="0">
      <w:start w:val="1"/>
      <w:numFmt w:val="none"/>
      <w:lvlText w:val=""/>
      <w:lvlJc w:val="left"/>
      <w:pPr>
        <w:tabs>
          <w:tab w:val="left" w:pos="1680"/>
        </w:tabs>
        <w:ind w:left="1680" w:hanging="420"/>
      </w:pPr>
      <w:rPr>
        <w:rFonts w:hint="eastAsia"/>
      </w:rPr>
    </w:lvl>
    <w:lvl w:ilvl="4" w:tentative="0">
      <w:start w:val="1"/>
      <w:numFmt w:val="none"/>
      <w:lvlText w:val=""/>
      <w:lvlJc w:val="left"/>
      <w:pPr>
        <w:tabs>
          <w:tab w:val="left" w:pos="2100"/>
        </w:tabs>
        <w:ind w:left="2100" w:hanging="420"/>
      </w:pPr>
      <w:rPr>
        <w:rFonts w:hint="eastAsia"/>
      </w:rPr>
    </w:lvl>
    <w:lvl w:ilvl="5" w:tentative="0">
      <w:start w:val="1"/>
      <w:numFmt w:val="none"/>
      <w:lvlText w:val=""/>
      <w:lvlJc w:val="right"/>
      <w:pPr>
        <w:tabs>
          <w:tab w:val="left" w:pos="2520"/>
        </w:tabs>
        <w:ind w:left="2520" w:hanging="420"/>
      </w:pPr>
      <w:rPr>
        <w:rFonts w:hint="eastAsia"/>
      </w:rPr>
    </w:lvl>
    <w:lvl w:ilvl="6" w:tentative="0">
      <w:start w:val="1"/>
      <w:numFmt w:val="none"/>
      <w:lvlText w:val=""/>
      <w:lvlJc w:val="left"/>
      <w:pPr>
        <w:tabs>
          <w:tab w:val="left" w:pos="2940"/>
        </w:tabs>
        <w:ind w:left="2940" w:hanging="420"/>
      </w:pPr>
      <w:rPr>
        <w:rFonts w:hint="eastAsia"/>
      </w:rPr>
    </w:lvl>
    <w:lvl w:ilvl="7" w:tentative="0">
      <w:start w:val="1"/>
      <w:numFmt w:val="none"/>
      <w:lvlText w:val=""/>
      <w:lvlJc w:val="left"/>
      <w:pPr>
        <w:tabs>
          <w:tab w:val="left" w:pos="3360"/>
        </w:tabs>
        <w:ind w:left="3360" w:hanging="420"/>
      </w:pPr>
      <w:rPr>
        <w:rFonts w:hint="eastAsia"/>
      </w:rPr>
    </w:lvl>
    <w:lvl w:ilvl="8" w:tentative="0">
      <w:start w:val="1"/>
      <w:numFmt w:val="none"/>
      <w:lvlText w:val=""/>
      <w:lvlJc w:val="right"/>
      <w:pPr>
        <w:tabs>
          <w:tab w:val="left" w:pos="3780"/>
        </w:tabs>
        <w:ind w:left="3780" w:hanging="420"/>
      </w:pPr>
      <w:rPr>
        <w:rFonts w:hint="eastAsia"/>
      </w:rPr>
    </w:lvl>
  </w:abstractNum>
  <w:abstractNum w:abstractNumId="23">
    <w:nsid w:val="47C87EC6"/>
    <w:multiLevelType w:val="multilevel"/>
    <w:tmpl w:val="47C87EC6"/>
    <w:lvl w:ilvl="0" w:tentative="0">
      <w:start w:val="1"/>
      <w:numFmt w:val="bullet"/>
      <w:lvlText w:val=""/>
      <w:lvlJc w:val="left"/>
      <w:pPr>
        <w:ind w:left="1140" w:hanging="420"/>
      </w:pPr>
      <w:rPr>
        <w:rFonts w:hint="default" w:ascii="Wingdings" w:hAnsi="Wingdings"/>
        <w:color w:val="0070C0"/>
      </w:rPr>
    </w:lvl>
    <w:lvl w:ilvl="1" w:tentative="0">
      <w:start w:val="1"/>
      <w:numFmt w:val="bullet"/>
      <w:lvlText w:val=""/>
      <w:lvlJc w:val="left"/>
      <w:pPr>
        <w:ind w:left="1560" w:hanging="420"/>
      </w:pPr>
      <w:rPr>
        <w:rFonts w:hint="default" w:ascii="Wingdings" w:hAnsi="Wingdings"/>
      </w:rPr>
    </w:lvl>
    <w:lvl w:ilvl="2" w:tentative="0">
      <w:start w:val="1"/>
      <w:numFmt w:val="bullet"/>
      <w:lvlText w:val=""/>
      <w:lvlJc w:val="left"/>
      <w:pPr>
        <w:ind w:left="1980" w:hanging="420"/>
      </w:pPr>
      <w:rPr>
        <w:rFonts w:hint="default" w:ascii="Wingdings" w:hAnsi="Wingdings"/>
      </w:rPr>
    </w:lvl>
    <w:lvl w:ilvl="3" w:tentative="0">
      <w:start w:val="1"/>
      <w:numFmt w:val="bullet"/>
      <w:lvlText w:val=""/>
      <w:lvlJc w:val="left"/>
      <w:pPr>
        <w:ind w:left="2400" w:hanging="420"/>
      </w:pPr>
      <w:rPr>
        <w:rFonts w:hint="default" w:ascii="Wingdings" w:hAnsi="Wingdings"/>
      </w:rPr>
    </w:lvl>
    <w:lvl w:ilvl="4" w:tentative="0">
      <w:start w:val="1"/>
      <w:numFmt w:val="bullet"/>
      <w:lvlText w:val=""/>
      <w:lvlJc w:val="left"/>
      <w:pPr>
        <w:ind w:left="2820" w:hanging="420"/>
      </w:pPr>
      <w:rPr>
        <w:rFonts w:hint="default" w:ascii="Wingdings" w:hAnsi="Wingdings"/>
      </w:rPr>
    </w:lvl>
    <w:lvl w:ilvl="5" w:tentative="0">
      <w:start w:val="1"/>
      <w:numFmt w:val="bullet"/>
      <w:lvlText w:val=""/>
      <w:lvlJc w:val="left"/>
      <w:pPr>
        <w:ind w:left="3240" w:hanging="420"/>
      </w:pPr>
      <w:rPr>
        <w:rFonts w:hint="default" w:ascii="Wingdings" w:hAnsi="Wingdings"/>
      </w:rPr>
    </w:lvl>
    <w:lvl w:ilvl="6" w:tentative="0">
      <w:start w:val="1"/>
      <w:numFmt w:val="bullet"/>
      <w:lvlText w:val=""/>
      <w:lvlJc w:val="left"/>
      <w:pPr>
        <w:ind w:left="3660" w:hanging="420"/>
      </w:pPr>
      <w:rPr>
        <w:rFonts w:hint="default" w:ascii="Wingdings" w:hAnsi="Wingdings"/>
      </w:rPr>
    </w:lvl>
    <w:lvl w:ilvl="7" w:tentative="0">
      <w:start w:val="1"/>
      <w:numFmt w:val="bullet"/>
      <w:lvlText w:val=""/>
      <w:lvlJc w:val="left"/>
      <w:pPr>
        <w:ind w:left="4080" w:hanging="420"/>
      </w:pPr>
      <w:rPr>
        <w:rFonts w:hint="default" w:ascii="Wingdings" w:hAnsi="Wingdings"/>
      </w:rPr>
    </w:lvl>
    <w:lvl w:ilvl="8" w:tentative="0">
      <w:start w:val="1"/>
      <w:numFmt w:val="bullet"/>
      <w:lvlText w:val=""/>
      <w:lvlJc w:val="left"/>
      <w:pPr>
        <w:ind w:left="4500" w:hanging="420"/>
      </w:pPr>
      <w:rPr>
        <w:rFonts w:hint="default" w:ascii="Wingdings" w:hAnsi="Wingdings"/>
      </w:rPr>
    </w:lvl>
  </w:abstractNum>
  <w:abstractNum w:abstractNumId="24">
    <w:nsid w:val="4E37518A"/>
    <w:multiLevelType w:val="multilevel"/>
    <w:tmpl w:val="4E37518A"/>
    <w:lvl w:ilvl="0" w:tentative="0">
      <w:start w:val="1"/>
      <w:numFmt w:val="bullet"/>
      <w:pStyle w:val="70"/>
      <w:lvlText w:val=""/>
      <w:lvlJc w:val="left"/>
      <w:pPr>
        <w:tabs>
          <w:tab w:val="left" w:pos="1134"/>
        </w:tabs>
        <w:ind w:left="1134" w:hanging="510"/>
      </w:pPr>
      <w:rPr>
        <w:rFonts w:hint="default" w:ascii="Symbol" w:hAnsi="Symbol"/>
        <w:b/>
        <w:bCs w:val="0"/>
        <w:i w:val="0"/>
        <w:iCs w:val="0"/>
        <w:color w:val="auto"/>
        <w:sz w:val="20"/>
        <w:szCs w:val="20"/>
      </w:rPr>
    </w:lvl>
    <w:lvl w:ilvl="1" w:tentative="0">
      <w:start w:val="1"/>
      <w:numFmt w:val="bullet"/>
      <w:pStyle w:val="72"/>
      <w:lvlText w:val=""/>
      <w:lvlJc w:val="left"/>
      <w:pPr>
        <w:tabs>
          <w:tab w:val="left" w:pos="1418"/>
        </w:tabs>
        <w:ind w:left="1418" w:hanging="284"/>
      </w:pPr>
      <w:rPr>
        <w:rFonts w:hint="default" w:ascii="Wingdings" w:hAnsi="Wingdings"/>
        <w:b w:val="0"/>
        <w:bCs w:val="0"/>
        <w:i w:val="0"/>
        <w:iCs w:val="0"/>
        <w:color w:val="auto"/>
        <w:sz w:val="12"/>
        <w:szCs w:val="20"/>
      </w:rPr>
    </w:lvl>
    <w:lvl w:ilvl="2" w:tentative="0">
      <w:start w:val="1"/>
      <w:numFmt w:val="bullet"/>
      <w:pStyle w:val="76"/>
      <w:lvlText w:val=""/>
      <w:lvlJc w:val="left"/>
      <w:pPr>
        <w:tabs>
          <w:tab w:val="left" w:pos="1701"/>
        </w:tabs>
        <w:ind w:left="1701" w:hanging="283"/>
      </w:pPr>
      <w:rPr>
        <w:rFonts w:hint="default" w:ascii="Symbol" w:hAnsi="Symbol"/>
        <w:b w:val="0"/>
        <w:bCs w:val="0"/>
        <w:i w:val="0"/>
        <w:iCs w:val="0"/>
        <w:color w:val="auto"/>
        <w:sz w:val="20"/>
        <w:szCs w:val="20"/>
      </w:rPr>
    </w:lvl>
    <w:lvl w:ilvl="3" w:tentative="0">
      <w:start w:val="1"/>
      <w:numFmt w:val="bullet"/>
      <w:lvlRestart w:val="0"/>
      <w:pStyle w:val="78"/>
      <w:lvlText w:val=""/>
      <w:lvlJc w:val="left"/>
      <w:pPr>
        <w:tabs>
          <w:tab w:val="left" w:pos="397"/>
        </w:tabs>
        <w:ind w:left="397" w:hanging="397"/>
      </w:pPr>
      <w:rPr>
        <w:rFonts w:hint="default" w:ascii="Symbol" w:hAnsi="Symbol"/>
        <w:b w:val="0"/>
        <w:bCs w:val="0"/>
        <w:i w:val="0"/>
        <w:iCs w:val="0"/>
        <w:color w:val="auto"/>
        <w:sz w:val="20"/>
        <w:szCs w:val="20"/>
      </w:rPr>
    </w:lvl>
    <w:lvl w:ilvl="4" w:tentative="0">
      <w:start w:val="1"/>
      <w:numFmt w:val="bullet"/>
      <w:pStyle w:val="67"/>
      <w:lvlText w:val=""/>
      <w:lvlJc w:val="left"/>
      <w:pPr>
        <w:tabs>
          <w:tab w:val="left" w:pos="680"/>
        </w:tabs>
        <w:ind w:left="680" w:hanging="283"/>
      </w:pPr>
      <w:rPr>
        <w:rFonts w:hint="default" w:ascii="Wingdings" w:hAnsi="Wingdings"/>
        <w:b w:val="0"/>
        <w:bCs w:val="0"/>
        <w:i w:val="0"/>
        <w:iCs w:val="0"/>
        <w:color w:val="auto"/>
        <w:sz w:val="10"/>
        <w:szCs w:val="20"/>
      </w:rPr>
    </w:lvl>
    <w:lvl w:ilvl="5" w:tentative="0">
      <w:start w:val="1"/>
      <w:numFmt w:val="bullet"/>
      <w:lvlRestart w:val="0"/>
      <w:pStyle w:val="87"/>
      <w:lvlText w:val=""/>
      <w:lvlJc w:val="left"/>
      <w:pPr>
        <w:tabs>
          <w:tab w:val="left" w:pos="397"/>
        </w:tabs>
        <w:ind w:left="397" w:hanging="397"/>
      </w:pPr>
      <w:rPr>
        <w:rFonts w:hint="default" w:ascii="Symbol" w:hAnsi="Symbol"/>
        <w:color w:val="auto"/>
        <w:sz w:val="20"/>
        <w:szCs w:val="20"/>
      </w:rPr>
    </w:lvl>
    <w:lvl w:ilvl="6" w:tentative="0">
      <w:start w:val="1"/>
      <w:numFmt w:val="none"/>
      <w:lvlText w:val="%7"/>
      <w:lvlJc w:val="left"/>
      <w:pPr>
        <w:tabs>
          <w:tab w:val="left" w:pos="323"/>
        </w:tabs>
        <w:ind w:left="323" w:firstLine="920"/>
      </w:pPr>
      <w:rPr>
        <w:rFonts w:hint="default"/>
        <w:color w:val="auto"/>
      </w:rPr>
    </w:lvl>
    <w:lvl w:ilvl="7" w:tentative="0">
      <w:start w:val="1"/>
      <w:numFmt w:val="none"/>
      <w:lvlText w:val="%8"/>
      <w:lvlJc w:val="left"/>
      <w:pPr>
        <w:tabs>
          <w:tab w:val="left" w:pos="323"/>
        </w:tabs>
        <w:ind w:left="323" w:firstLine="920"/>
      </w:pPr>
      <w:rPr>
        <w:rFonts w:hint="default"/>
      </w:rPr>
    </w:lvl>
    <w:lvl w:ilvl="8" w:tentative="0">
      <w:start w:val="1"/>
      <w:numFmt w:val="none"/>
      <w:lvlText w:val="%9"/>
      <w:lvlJc w:val="left"/>
      <w:pPr>
        <w:tabs>
          <w:tab w:val="left" w:pos="323"/>
        </w:tabs>
        <w:ind w:left="323" w:firstLine="920"/>
      </w:pPr>
      <w:rPr>
        <w:rFonts w:hint="default"/>
      </w:rPr>
    </w:lvl>
  </w:abstractNum>
  <w:abstractNum w:abstractNumId="25">
    <w:nsid w:val="5AFB1D30"/>
    <w:multiLevelType w:val="multilevel"/>
    <w:tmpl w:val="5AFB1D30"/>
    <w:lvl w:ilvl="0" w:tentative="0">
      <w:start w:val="1"/>
      <w:numFmt w:val="bullet"/>
      <w:lvlText w:val=""/>
      <w:lvlJc w:val="left"/>
      <w:pPr>
        <w:ind w:left="902" w:hanging="420"/>
      </w:pPr>
      <w:rPr>
        <w:rFonts w:hint="default" w:ascii="Wingdings" w:hAnsi="Wingdings"/>
      </w:rPr>
    </w:lvl>
    <w:lvl w:ilvl="1" w:tentative="0">
      <w:start w:val="1"/>
      <w:numFmt w:val="bullet"/>
      <w:lvlText w:val=""/>
      <w:lvlJc w:val="left"/>
      <w:pPr>
        <w:ind w:left="1322" w:hanging="420"/>
      </w:pPr>
      <w:rPr>
        <w:rFonts w:hint="default" w:ascii="Wingdings" w:hAnsi="Wingdings"/>
      </w:rPr>
    </w:lvl>
    <w:lvl w:ilvl="2" w:tentative="0">
      <w:start w:val="1"/>
      <w:numFmt w:val="bullet"/>
      <w:lvlText w:val=""/>
      <w:lvlJc w:val="left"/>
      <w:pPr>
        <w:ind w:left="1742" w:hanging="420"/>
      </w:pPr>
      <w:rPr>
        <w:rFonts w:hint="default" w:ascii="Wingdings" w:hAnsi="Wingdings"/>
      </w:rPr>
    </w:lvl>
    <w:lvl w:ilvl="3" w:tentative="0">
      <w:start w:val="1"/>
      <w:numFmt w:val="bullet"/>
      <w:lvlText w:val=""/>
      <w:lvlJc w:val="left"/>
      <w:pPr>
        <w:ind w:left="2162" w:hanging="420"/>
      </w:pPr>
      <w:rPr>
        <w:rFonts w:hint="default" w:ascii="Wingdings" w:hAnsi="Wingdings"/>
      </w:rPr>
    </w:lvl>
    <w:lvl w:ilvl="4" w:tentative="0">
      <w:start w:val="1"/>
      <w:numFmt w:val="bullet"/>
      <w:lvlText w:val=""/>
      <w:lvlJc w:val="left"/>
      <w:pPr>
        <w:ind w:left="2582" w:hanging="420"/>
      </w:pPr>
      <w:rPr>
        <w:rFonts w:hint="default" w:ascii="Wingdings" w:hAnsi="Wingdings"/>
      </w:rPr>
    </w:lvl>
    <w:lvl w:ilvl="5" w:tentative="0">
      <w:start w:val="1"/>
      <w:numFmt w:val="bullet"/>
      <w:lvlText w:val=""/>
      <w:lvlJc w:val="left"/>
      <w:pPr>
        <w:ind w:left="3002" w:hanging="420"/>
      </w:pPr>
      <w:rPr>
        <w:rFonts w:hint="default" w:ascii="Wingdings" w:hAnsi="Wingdings"/>
      </w:rPr>
    </w:lvl>
    <w:lvl w:ilvl="6" w:tentative="0">
      <w:start w:val="1"/>
      <w:numFmt w:val="bullet"/>
      <w:lvlText w:val=""/>
      <w:lvlJc w:val="left"/>
      <w:pPr>
        <w:ind w:left="3422" w:hanging="420"/>
      </w:pPr>
      <w:rPr>
        <w:rFonts w:hint="default" w:ascii="Wingdings" w:hAnsi="Wingdings"/>
      </w:rPr>
    </w:lvl>
    <w:lvl w:ilvl="7" w:tentative="0">
      <w:start w:val="1"/>
      <w:numFmt w:val="bullet"/>
      <w:lvlText w:val=""/>
      <w:lvlJc w:val="left"/>
      <w:pPr>
        <w:ind w:left="3842" w:hanging="420"/>
      </w:pPr>
      <w:rPr>
        <w:rFonts w:hint="default" w:ascii="Wingdings" w:hAnsi="Wingdings"/>
      </w:rPr>
    </w:lvl>
    <w:lvl w:ilvl="8" w:tentative="0">
      <w:start w:val="1"/>
      <w:numFmt w:val="bullet"/>
      <w:lvlText w:val=""/>
      <w:lvlJc w:val="left"/>
      <w:pPr>
        <w:ind w:left="4262" w:hanging="420"/>
      </w:pPr>
      <w:rPr>
        <w:rFonts w:hint="default" w:ascii="Wingdings" w:hAnsi="Wingdings"/>
      </w:rPr>
    </w:lvl>
  </w:abstractNum>
  <w:abstractNum w:abstractNumId="26">
    <w:nsid w:val="5FCB2E98"/>
    <w:multiLevelType w:val="multilevel"/>
    <w:tmpl w:val="5FCB2E98"/>
    <w:lvl w:ilvl="0" w:tentative="0">
      <w:start w:val="1"/>
      <w:numFmt w:val="bullet"/>
      <w:lvlText w:val=""/>
      <w:lvlJc w:val="left"/>
      <w:pPr>
        <w:ind w:left="1044" w:hanging="420"/>
      </w:pPr>
      <w:rPr>
        <w:rFonts w:hint="default" w:ascii="Wingdings" w:hAnsi="Wingdings"/>
      </w:rPr>
    </w:lvl>
    <w:lvl w:ilvl="1" w:tentative="0">
      <w:start w:val="1"/>
      <w:numFmt w:val="bullet"/>
      <w:lvlText w:val=""/>
      <w:lvlJc w:val="left"/>
      <w:pPr>
        <w:ind w:left="1464" w:hanging="420"/>
      </w:pPr>
      <w:rPr>
        <w:rFonts w:hint="default" w:ascii="Wingdings" w:hAnsi="Wingdings"/>
      </w:rPr>
    </w:lvl>
    <w:lvl w:ilvl="2" w:tentative="0">
      <w:start w:val="1"/>
      <w:numFmt w:val="bullet"/>
      <w:lvlText w:val=""/>
      <w:lvlJc w:val="left"/>
      <w:pPr>
        <w:ind w:left="1884" w:hanging="420"/>
      </w:pPr>
      <w:rPr>
        <w:rFonts w:hint="default" w:ascii="Wingdings" w:hAnsi="Wingdings"/>
      </w:rPr>
    </w:lvl>
    <w:lvl w:ilvl="3" w:tentative="0">
      <w:start w:val="1"/>
      <w:numFmt w:val="bullet"/>
      <w:lvlText w:val=""/>
      <w:lvlJc w:val="left"/>
      <w:pPr>
        <w:ind w:left="2304" w:hanging="420"/>
      </w:pPr>
      <w:rPr>
        <w:rFonts w:hint="default" w:ascii="Wingdings" w:hAnsi="Wingdings"/>
      </w:rPr>
    </w:lvl>
    <w:lvl w:ilvl="4" w:tentative="0">
      <w:start w:val="1"/>
      <w:numFmt w:val="bullet"/>
      <w:lvlText w:val=""/>
      <w:lvlJc w:val="left"/>
      <w:pPr>
        <w:ind w:left="2724" w:hanging="420"/>
      </w:pPr>
      <w:rPr>
        <w:rFonts w:hint="default" w:ascii="Wingdings" w:hAnsi="Wingdings"/>
      </w:rPr>
    </w:lvl>
    <w:lvl w:ilvl="5" w:tentative="0">
      <w:start w:val="1"/>
      <w:numFmt w:val="bullet"/>
      <w:lvlText w:val=""/>
      <w:lvlJc w:val="left"/>
      <w:pPr>
        <w:ind w:left="3144" w:hanging="420"/>
      </w:pPr>
      <w:rPr>
        <w:rFonts w:hint="default" w:ascii="Wingdings" w:hAnsi="Wingdings"/>
      </w:rPr>
    </w:lvl>
    <w:lvl w:ilvl="6" w:tentative="0">
      <w:start w:val="1"/>
      <w:numFmt w:val="bullet"/>
      <w:lvlText w:val=""/>
      <w:lvlJc w:val="left"/>
      <w:pPr>
        <w:ind w:left="3564" w:hanging="420"/>
      </w:pPr>
      <w:rPr>
        <w:rFonts w:hint="default" w:ascii="Wingdings" w:hAnsi="Wingdings"/>
      </w:rPr>
    </w:lvl>
    <w:lvl w:ilvl="7" w:tentative="0">
      <w:start w:val="1"/>
      <w:numFmt w:val="bullet"/>
      <w:lvlText w:val=""/>
      <w:lvlJc w:val="left"/>
      <w:pPr>
        <w:ind w:left="3984" w:hanging="420"/>
      </w:pPr>
      <w:rPr>
        <w:rFonts w:hint="default" w:ascii="Wingdings" w:hAnsi="Wingdings"/>
      </w:rPr>
    </w:lvl>
    <w:lvl w:ilvl="8" w:tentative="0">
      <w:start w:val="1"/>
      <w:numFmt w:val="bullet"/>
      <w:lvlText w:val=""/>
      <w:lvlJc w:val="left"/>
      <w:pPr>
        <w:ind w:left="4404" w:hanging="420"/>
      </w:pPr>
      <w:rPr>
        <w:rFonts w:hint="default" w:ascii="Wingdings" w:hAnsi="Wingdings"/>
      </w:rPr>
    </w:lvl>
  </w:abstractNum>
  <w:abstractNum w:abstractNumId="27">
    <w:nsid w:val="67737C9E"/>
    <w:multiLevelType w:val="multilevel"/>
    <w:tmpl w:val="67737C9E"/>
    <w:lvl w:ilvl="0" w:tentative="0">
      <w:start w:val="1"/>
      <w:numFmt w:val="decimal"/>
      <w:lvlText w:val="（%1）"/>
      <w:lvlJc w:val="left"/>
      <w:pPr>
        <w:ind w:left="1004"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8">
    <w:nsid w:val="6D9B22F2"/>
    <w:multiLevelType w:val="multilevel"/>
    <w:tmpl w:val="6D9B22F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73BF3BBE"/>
    <w:multiLevelType w:val="multilevel"/>
    <w:tmpl w:val="73BF3BBE"/>
    <w:lvl w:ilvl="0" w:tentative="0">
      <w:start w:val="1"/>
      <w:numFmt w:val="decimal"/>
      <w:lvlText w:val="（%1）"/>
      <w:lvlJc w:val="left"/>
      <w:pPr>
        <w:ind w:left="1080" w:hanging="72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30">
    <w:nsid w:val="765F6CA5"/>
    <w:multiLevelType w:val="multilevel"/>
    <w:tmpl w:val="765F6CA5"/>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31">
    <w:nsid w:val="7B7E74E0"/>
    <w:multiLevelType w:val="multilevel"/>
    <w:tmpl w:val="7B7E74E0"/>
    <w:lvl w:ilvl="0" w:tentative="0">
      <w:start w:val="1"/>
      <w:numFmt w:val="bullet"/>
      <w:lvlText w:val=""/>
      <w:lvlJc w:val="left"/>
      <w:pPr>
        <w:ind w:left="1140" w:hanging="420"/>
      </w:pPr>
      <w:rPr>
        <w:rFonts w:hint="default" w:ascii="Wingdings" w:hAnsi="Wingdings"/>
        <w:color w:val="0070C0"/>
      </w:rPr>
    </w:lvl>
    <w:lvl w:ilvl="1" w:tentative="0">
      <w:start w:val="1"/>
      <w:numFmt w:val="bullet"/>
      <w:lvlText w:val=""/>
      <w:lvlJc w:val="left"/>
      <w:pPr>
        <w:ind w:left="1560" w:hanging="420"/>
      </w:pPr>
      <w:rPr>
        <w:rFonts w:hint="default" w:ascii="Wingdings" w:hAnsi="Wingdings"/>
      </w:rPr>
    </w:lvl>
    <w:lvl w:ilvl="2" w:tentative="0">
      <w:start w:val="1"/>
      <w:numFmt w:val="bullet"/>
      <w:lvlText w:val=""/>
      <w:lvlJc w:val="left"/>
      <w:pPr>
        <w:ind w:left="1980" w:hanging="420"/>
      </w:pPr>
      <w:rPr>
        <w:rFonts w:hint="default" w:ascii="Wingdings" w:hAnsi="Wingdings"/>
      </w:rPr>
    </w:lvl>
    <w:lvl w:ilvl="3" w:tentative="0">
      <w:start w:val="1"/>
      <w:numFmt w:val="bullet"/>
      <w:lvlText w:val=""/>
      <w:lvlJc w:val="left"/>
      <w:pPr>
        <w:ind w:left="2400" w:hanging="420"/>
      </w:pPr>
      <w:rPr>
        <w:rFonts w:hint="default" w:ascii="Wingdings" w:hAnsi="Wingdings"/>
      </w:rPr>
    </w:lvl>
    <w:lvl w:ilvl="4" w:tentative="0">
      <w:start w:val="1"/>
      <w:numFmt w:val="bullet"/>
      <w:lvlText w:val=""/>
      <w:lvlJc w:val="left"/>
      <w:pPr>
        <w:ind w:left="2820" w:hanging="420"/>
      </w:pPr>
      <w:rPr>
        <w:rFonts w:hint="default" w:ascii="Wingdings" w:hAnsi="Wingdings"/>
      </w:rPr>
    </w:lvl>
    <w:lvl w:ilvl="5" w:tentative="0">
      <w:start w:val="1"/>
      <w:numFmt w:val="bullet"/>
      <w:lvlText w:val=""/>
      <w:lvlJc w:val="left"/>
      <w:pPr>
        <w:ind w:left="3240" w:hanging="420"/>
      </w:pPr>
      <w:rPr>
        <w:rFonts w:hint="default" w:ascii="Wingdings" w:hAnsi="Wingdings"/>
      </w:rPr>
    </w:lvl>
    <w:lvl w:ilvl="6" w:tentative="0">
      <w:start w:val="1"/>
      <w:numFmt w:val="bullet"/>
      <w:lvlText w:val=""/>
      <w:lvlJc w:val="left"/>
      <w:pPr>
        <w:ind w:left="3660" w:hanging="420"/>
      </w:pPr>
      <w:rPr>
        <w:rFonts w:hint="default" w:ascii="Wingdings" w:hAnsi="Wingdings"/>
      </w:rPr>
    </w:lvl>
    <w:lvl w:ilvl="7" w:tentative="0">
      <w:start w:val="1"/>
      <w:numFmt w:val="bullet"/>
      <w:lvlText w:val=""/>
      <w:lvlJc w:val="left"/>
      <w:pPr>
        <w:ind w:left="4080" w:hanging="420"/>
      </w:pPr>
      <w:rPr>
        <w:rFonts w:hint="default" w:ascii="Wingdings" w:hAnsi="Wingdings"/>
      </w:rPr>
    </w:lvl>
    <w:lvl w:ilvl="8" w:tentative="0">
      <w:start w:val="1"/>
      <w:numFmt w:val="bullet"/>
      <w:lvlText w:val=""/>
      <w:lvlJc w:val="left"/>
      <w:pPr>
        <w:ind w:left="4500" w:hanging="420"/>
      </w:pPr>
      <w:rPr>
        <w:rFonts w:hint="default" w:ascii="Wingdings" w:hAnsi="Wingdings"/>
      </w:rPr>
    </w:lvl>
  </w:abstractNum>
  <w:abstractNum w:abstractNumId="32">
    <w:nsid w:val="7CF62DB1"/>
    <w:multiLevelType w:val="multilevel"/>
    <w:tmpl w:val="7CF62DB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3">
    <w:nsid w:val="7EF2523A"/>
    <w:multiLevelType w:val="multilevel"/>
    <w:tmpl w:val="7EF2523A"/>
    <w:lvl w:ilvl="0" w:tentative="0">
      <w:start w:val="1"/>
      <w:numFmt w:val="decimal"/>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6"/>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4"/>
  </w:num>
  <w:num w:numId="4">
    <w:abstractNumId w:val="22"/>
  </w:num>
  <w:num w:numId="5">
    <w:abstractNumId w:val="2"/>
  </w:num>
  <w:num w:numId="6">
    <w:abstractNumId w:val="7"/>
  </w:num>
  <w:num w:numId="7">
    <w:abstractNumId w:val="1"/>
  </w:num>
  <w:num w:numId="8">
    <w:abstractNumId w:val="13"/>
  </w:num>
  <w:num w:numId="9">
    <w:abstractNumId w:val="33"/>
  </w:num>
  <w:num w:numId="10">
    <w:abstractNumId w:val="25"/>
  </w:num>
  <w:num w:numId="11">
    <w:abstractNumId w:val="9"/>
  </w:num>
  <w:num w:numId="12">
    <w:abstractNumId w:val="20"/>
  </w:num>
  <w:num w:numId="13">
    <w:abstractNumId w:val="4"/>
  </w:num>
  <w:num w:numId="14">
    <w:abstractNumId w:val="30"/>
  </w:num>
  <w:num w:numId="15">
    <w:abstractNumId w:val="19"/>
  </w:num>
  <w:num w:numId="16">
    <w:abstractNumId w:val="5"/>
  </w:num>
  <w:num w:numId="17">
    <w:abstractNumId w:val="12"/>
  </w:num>
  <w:num w:numId="18">
    <w:abstractNumId w:val="17"/>
  </w:num>
  <w:num w:numId="19">
    <w:abstractNumId w:val="0"/>
  </w:num>
  <w:num w:numId="20">
    <w:abstractNumId w:val="21"/>
  </w:num>
  <w:num w:numId="21">
    <w:abstractNumId w:val="32"/>
  </w:num>
  <w:num w:numId="22">
    <w:abstractNumId w:val="10"/>
  </w:num>
  <w:num w:numId="23">
    <w:abstractNumId w:val="8"/>
  </w:num>
  <w:num w:numId="24">
    <w:abstractNumId w:val="14"/>
  </w:num>
  <w:num w:numId="25">
    <w:abstractNumId w:val="11"/>
  </w:num>
  <w:num w:numId="26">
    <w:abstractNumId w:val="18"/>
  </w:num>
  <w:num w:numId="27">
    <w:abstractNumId w:val="28"/>
  </w:num>
  <w:num w:numId="28">
    <w:abstractNumId w:val="27"/>
  </w:num>
  <w:num w:numId="29">
    <w:abstractNumId w:val="23"/>
  </w:num>
  <w:num w:numId="30">
    <w:abstractNumId w:val="26"/>
  </w:num>
  <w:num w:numId="31">
    <w:abstractNumId w:val="16"/>
  </w:num>
  <w:num w:numId="32">
    <w:abstractNumId w:val="29"/>
  </w:num>
  <w:num w:numId="33">
    <w:abstractNumId w:val="31"/>
  </w:num>
  <w:num w:numId="3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bordersDoNotSurroundHeader w:val="1"/>
  <w:bordersDoNotSurroundFooter w:val="1"/>
  <w:hideSpellingErrors/>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attachedTemplate r:id="rId1"/>
  <w:documentProtection w:enforcement="0"/>
  <w:defaultTabStop w:val="425"/>
  <w:doNotHyphenateCaps/>
  <w:drawingGridHorizontalSpacing w:val="105"/>
  <w:drawingGridVerticalSpacing w:val="317"/>
  <w:displayHorizontalDrawingGridEvery w:val="0"/>
  <w:characterSpacingControl w:val="compressPunctuation"/>
  <w:footnotePr>
    <w:footnote w:id="0"/>
    <w:footnote w:id="1"/>
  </w:foot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A1NjY3MzU4OWY2MDE3MmEwYzA0YjIxNmFhOGQ5OTQifQ=="/>
  </w:docVars>
  <w:rsids>
    <w:rsidRoot w:val="002F2C9E"/>
    <w:rsid w:val="000050E8"/>
    <w:rsid w:val="00006F05"/>
    <w:rsid w:val="00010779"/>
    <w:rsid w:val="00012FDA"/>
    <w:rsid w:val="00014F3A"/>
    <w:rsid w:val="00016337"/>
    <w:rsid w:val="000169A3"/>
    <w:rsid w:val="00020157"/>
    <w:rsid w:val="00021FBF"/>
    <w:rsid w:val="00024939"/>
    <w:rsid w:val="00024D08"/>
    <w:rsid w:val="000255E2"/>
    <w:rsid w:val="000269C5"/>
    <w:rsid w:val="00031B0C"/>
    <w:rsid w:val="0003248E"/>
    <w:rsid w:val="00033C8F"/>
    <w:rsid w:val="000412EA"/>
    <w:rsid w:val="00041F55"/>
    <w:rsid w:val="00045F70"/>
    <w:rsid w:val="000461C8"/>
    <w:rsid w:val="000479F7"/>
    <w:rsid w:val="00047D37"/>
    <w:rsid w:val="0005250E"/>
    <w:rsid w:val="00061BDE"/>
    <w:rsid w:val="000620C2"/>
    <w:rsid w:val="00063296"/>
    <w:rsid w:val="000638EF"/>
    <w:rsid w:val="00063B27"/>
    <w:rsid w:val="00067581"/>
    <w:rsid w:val="00067641"/>
    <w:rsid w:val="0007007E"/>
    <w:rsid w:val="0007320D"/>
    <w:rsid w:val="000772CB"/>
    <w:rsid w:val="00081F14"/>
    <w:rsid w:val="0008342C"/>
    <w:rsid w:val="00083469"/>
    <w:rsid w:val="00083735"/>
    <w:rsid w:val="0008384A"/>
    <w:rsid w:val="000849E3"/>
    <w:rsid w:val="00085189"/>
    <w:rsid w:val="0009007C"/>
    <w:rsid w:val="000917C7"/>
    <w:rsid w:val="00091BDA"/>
    <w:rsid w:val="000932BD"/>
    <w:rsid w:val="000969A2"/>
    <w:rsid w:val="000971BA"/>
    <w:rsid w:val="00097AAC"/>
    <w:rsid w:val="000A051C"/>
    <w:rsid w:val="000A168E"/>
    <w:rsid w:val="000A2B06"/>
    <w:rsid w:val="000A2C2F"/>
    <w:rsid w:val="000A2FFB"/>
    <w:rsid w:val="000A67DD"/>
    <w:rsid w:val="000A78C1"/>
    <w:rsid w:val="000B0E62"/>
    <w:rsid w:val="000B2428"/>
    <w:rsid w:val="000B3090"/>
    <w:rsid w:val="000B4A53"/>
    <w:rsid w:val="000B5C5B"/>
    <w:rsid w:val="000C002C"/>
    <w:rsid w:val="000C4960"/>
    <w:rsid w:val="000C4B9B"/>
    <w:rsid w:val="000C56E6"/>
    <w:rsid w:val="000D0681"/>
    <w:rsid w:val="000D08EC"/>
    <w:rsid w:val="000D116C"/>
    <w:rsid w:val="000D2265"/>
    <w:rsid w:val="000D2442"/>
    <w:rsid w:val="000D3EE0"/>
    <w:rsid w:val="000D48A1"/>
    <w:rsid w:val="000D6E8E"/>
    <w:rsid w:val="000E0379"/>
    <w:rsid w:val="000E1122"/>
    <w:rsid w:val="000E2790"/>
    <w:rsid w:val="000E3525"/>
    <w:rsid w:val="000E3CD1"/>
    <w:rsid w:val="000F2836"/>
    <w:rsid w:val="000F2F70"/>
    <w:rsid w:val="000F681D"/>
    <w:rsid w:val="000F78D7"/>
    <w:rsid w:val="00100031"/>
    <w:rsid w:val="00100B65"/>
    <w:rsid w:val="00101F90"/>
    <w:rsid w:val="001025E8"/>
    <w:rsid w:val="0010333F"/>
    <w:rsid w:val="00104918"/>
    <w:rsid w:val="00107F92"/>
    <w:rsid w:val="00111E66"/>
    <w:rsid w:val="001122DE"/>
    <w:rsid w:val="00114DE8"/>
    <w:rsid w:val="00116D1F"/>
    <w:rsid w:val="0011737F"/>
    <w:rsid w:val="00124763"/>
    <w:rsid w:val="0012500B"/>
    <w:rsid w:val="00127B2B"/>
    <w:rsid w:val="00127C5F"/>
    <w:rsid w:val="0013053C"/>
    <w:rsid w:val="00130627"/>
    <w:rsid w:val="00131572"/>
    <w:rsid w:val="001336EE"/>
    <w:rsid w:val="00135C0D"/>
    <w:rsid w:val="00140AB5"/>
    <w:rsid w:val="001410FA"/>
    <w:rsid w:val="0014433E"/>
    <w:rsid w:val="00146DD5"/>
    <w:rsid w:val="00150B43"/>
    <w:rsid w:val="001535BF"/>
    <w:rsid w:val="00154760"/>
    <w:rsid w:val="001601AD"/>
    <w:rsid w:val="00164804"/>
    <w:rsid w:val="00166C47"/>
    <w:rsid w:val="00167452"/>
    <w:rsid w:val="00167467"/>
    <w:rsid w:val="00170660"/>
    <w:rsid w:val="00170813"/>
    <w:rsid w:val="00172223"/>
    <w:rsid w:val="00173A70"/>
    <w:rsid w:val="00175B48"/>
    <w:rsid w:val="00175BDE"/>
    <w:rsid w:val="00175C9A"/>
    <w:rsid w:val="00181C6A"/>
    <w:rsid w:val="00184495"/>
    <w:rsid w:val="00185FA1"/>
    <w:rsid w:val="00190C7D"/>
    <w:rsid w:val="00190E68"/>
    <w:rsid w:val="00191581"/>
    <w:rsid w:val="00192CCE"/>
    <w:rsid w:val="00196F7C"/>
    <w:rsid w:val="00197B55"/>
    <w:rsid w:val="001A27D7"/>
    <w:rsid w:val="001A3764"/>
    <w:rsid w:val="001A482A"/>
    <w:rsid w:val="001A57E2"/>
    <w:rsid w:val="001A6E1F"/>
    <w:rsid w:val="001A7A13"/>
    <w:rsid w:val="001A7BF6"/>
    <w:rsid w:val="001B10AC"/>
    <w:rsid w:val="001B5C82"/>
    <w:rsid w:val="001B6E89"/>
    <w:rsid w:val="001B75F7"/>
    <w:rsid w:val="001C12F3"/>
    <w:rsid w:val="001C1670"/>
    <w:rsid w:val="001C1CFD"/>
    <w:rsid w:val="001C1E82"/>
    <w:rsid w:val="001C5C8B"/>
    <w:rsid w:val="001C62E6"/>
    <w:rsid w:val="001C66D9"/>
    <w:rsid w:val="001C6D56"/>
    <w:rsid w:val="001D0654"/>
    <w:rsid w:val="001D1259"/>
    <w:rsid w:val="001D2135"/>
    <w:rsid w:val="001D237C"/>
    <w:rsid w:val="001D2EBC"/>
    <w:rsid w:val="001D311C"/>
    <w:rsid w:val="001D3E60"/>
    <w:rsid w:val="001D446B"/>
    <w:rsid w:val="001D5077"/>
    <w:rsid w:val="001D51EC"/>
    <w:rsid w:val="001D5527"/>
    <w:rsid w:val="001D5659"/>
    <w:rsid w:val="001D5BD0"/>
    <w:rsid w:val="001E0CC4"/>
    <w:rsid w:val="001E1371"/>
    <w:rsid w:val="001E2AF7"/>
    <w:rsid w:val="001E2CD7"/>
    <w:rsid w:val="001E7D8E"/>
    <w:rsid w:val="001F3042"/>
    <w:rsid w:val="001F35A4"/>
    <w:rsid w:val="001F4349"/>
    <w:rsid w:val="001F64B8"/>
    <w:rsid w:val="001F6BFA"/>
    <w:rsid w:val="001F6E52"/>
    <w:rsid w:val="0020113B"/>
    <w:rsid w:val="002015F0"/>
    <w:rsid w:val="00203329"/>
    <w:rsid w:val="00203CCD"/>
    <w:rsid w:val="0020482E"/>
    <w:rsid w:val="0021284E"/>
    <w:rsid w:val="00212EEA"/>
    <w:rsid w:val="002134F8"/>
    <w:rsid w:val="00213F8D"/>
    <w:rsid w:val="0021413A"/>
    <w:rsid w:val="0021483C"/>
    <w:rsid w:val="00214B9D"/>
    <w:rsid w:val="00214E40"/>
    <w:rsid w:val="00215106"/>
    <w:rsid w:val="00220511"/>
    <w:rsid w:val="00221004"/>
    <w:rsid w:val="00221542"/>
    <w:rsid w:val="002220AC"/>
    <w:rsid w:val="002228F0"/>
    <w:rsid w:val="002229FD"/>
    <w:rsid w:val="002243AF"/>
    <w:rsid w:val="00225AC2"/>
    <w:rsid w:val="0022722F"/>
    <w:rsid w:val="0023049B"/>
    <w:rsid w:val="00231729"/>
    <w:rsid w:val="002324D3"/>
    <w:rsid w:val="00232A8A"/>
    <w:rsid w:val="00234AA2"/>
    <w:rsid w:val="00235BC0"/>
    <w:rsid w:val="00235E06"/>
    <w:rsid w:val="0023734F"/>
    <w:rsid w:val="00240A24"/>
    <w:rsid w:val="00240B74"/>
    <w:rsid w:val="00242C4C"/>
    <w:rsid w:val="002525C9"/>
    <w:rsid w:val="00255EEA"/>
    <w:rsid w:val="00256176"/>
    <w:rsid w:val="00256F36"/>
    <w:rsid w:val="00257C21"/>
    <w:rsid w:val="0026046C"/>
    <w:rsid w:val="00262FFE"/>
    <w:rsid w:val="002635DC"/>
    <w:rsid w:val="002650E2"/>
    <w:rsid w:val="00273E8C"/>
    <w:rsid w:val="002764F3"/>
    <w:rsid w:val="00276D60"/>
    <w:rsid w:val="0028438C"/>
    <w:rsid w:val="00285676"/>
    <w:rsid w:val="00286028"/>
    <w:rsid w:val="00287BFC"/>
    <w:rsid w:val="002903AA"/>
    <w:rsid w:val="00294220"/>
    <w:rsid w:val="00294B58"/>
    <w:rsid w:val="00294D75"/>
    <w:rsid w:val="00294F92"/>
    <w:rsid w:val="00296EC7"/>
    <w:rsid w:val="00297F21"/>
    <w:rsid w:val="002A1437"/>
    <w:rsid w:val="002A451A"/>
    <w:rsid w:val="002A7FE9"/>
    <w:rsid w:val="002B6C6F"/>
    <w:rsid w:val="002B7029"/>
    <w:rsid w:val="002C213D"/>
    <w:rsid w:val="002C2866"/>
    <w:rsid w:val="002C312F"/>
    <w:rsid w:val="002C43B3"/>
    <w:rsid w:val="002C5397"/>
    <w:rsid w:val="002C6EC4"/>
    <w:rsid w:val="002D0B22"/>
    <w:rsid w:val="002D1AF4"/>
    <w:rsid w:val="002D43B7"/>
    <w:rsid w:val="002D50EC"/>
    <w:rsid w:val="002D54E2"/>
    <w:rsid w:val="002D68B2"/>
    <w:rsid w:val="002D6BD3"/>
    <w:rsid w:val="002D73E6"/>
    <w:rsid w:val="002D79F0"/>
    <w:rsid w:val="002E1810"/>
    <w:rsid w:val="002E378C"/>
    <w:rsid w:val="002E4239"/>
    <w:rsid w:val="002E4463"/>
    <w:rsid w:val="002E46DD"/>
    <w:rsid w:val="002E4A39"/>
    <w:rsid w:val="002E6B74"/>
    <w:rsid w:val="002E7AC9"/>
    <w:rsid w:val="002F209F"/>
    <w:rsid w:val="002F273E"/>
    <w:rsid w:val="002F2C9E"/>
    <w:rsid w:val="002F4F9E"/>
    <w:rsid w:val="002F61C4"/>
    <w:rsid w:val="003039A0"/>
    <w:rsid w:val="00303FE4"/>
    <w:rsid w:val="00304337"/>
    <w:rsid w:val="00305478"/>
    <w:rsid w:val="00305922"/>
    <w:rsid w:val="00305A89"/>
    <w:rsid w:val="00305F50"/>
    <w:rsid w:val="00307A66"/>
    <w:rsid w:val="00307F52"/>
    <w:rsid w:val="00310AD4"/>
    <w:rsid w:val="00310BE7"/>
    <w:rsid w:val="00311A5F"/>
    <w:rsid w:val="003129C1"/>
    <w:rsid w:val="00313A90"/>
    <w:rsid w:val="00314C76"/>
    <w:rsid w:val="003160D9"/>
    <w:rsid w:val="00320E28"/>
    <w:rsid w:val="003210A4"/>
    <w:rsid w:val="003242E4"/>
    <w:rsid w:val="0032539E"/>
    <w:rsid w:val="003254B9"/>
    <w:rsid w:val="0033180E"/>
    <w:rsid w:val="00334163"/>
    <w:rsid w:val="00335256"/>
    <w:rsid w:val="00340EFF"/>
    <w:rsid w:val="00341E4B"/>
    <w:rsid w:val="00342D15"/>
    <w:rsid w:val="0034454A"/>
    <w:rsid w:val="00346775"/>
    <w:rsid w:val="003545D2"/>
    <w:rsid w:val="00355E54"/>
    <w:rsid w:val="00357E81"/>
    <w:rsid w:val="00362819"/>
    <w:rsid w:val="00366640"/>
    <w:rsid w:val="00371495"/>
    <w:rsid w:val="003722E6"/>
    <w:rsid w:val="0037360D"/>
    <w:rsid w:val="00375210"/>
    <w:rsid w:val="003774C4"/>
    <w:rsid w:val="00382E2E"/>
    <w:rsid w:val="00384501"/>
    <w:rsid w:val="00386DB1"/>
    <w:rsid w:val="003879B5"/>
    <w:rsid w:val="00387CDA"/>
    <w:rsid w:val="003918F6"/>
    <w:rsid w:val="00392D91"/>
    <w:rsid w:val="00395E0A"/>
    <w:rsid w:val="0039626A"/>
    <w:rsid w:val="00397A8B"/>
    <w:rsid w:val="00397BFC"/>
    <w:rsid w:val="003A0484"/>
    <w:rsid w:val="003A3262"/>
    <w:rsid w:val="003A4CE6"/>
    <w:rsid w:val="003B0F07"/>
    <w:rsid w:val="003B14A9"/>
    <w:rsid w:val="003B14AD"/>
    <w:rsid w:val="003B6094"/>
    <w:rsid w:val="003C28A5"/>
    <w:rsid w:val="003C2D91"/>
    <w:rsid w:val="003C3021"/>
    <w:rsid w:val="003C6BA8"/>
    <w:rsid w:val="003D1AFF"/>
    <w:rsid w:val="003D1BA1"/>
    <w:rsid w:val="003D4B1F"/>
    <w:rsid w:val="003D5FC1"/>
    <w:rsid w:val="003D7756"/>
    <w:rsid w:val="003E026B"/>
    <w:rsid w:val="003E06C7"/>
    <w:rsid w:val="003E0B3E"/>
    <w:rsid w:val="003E290A"/>
    <w:rsid w:val="003E2E9C"/>
    <w:rsid w:val="003E364B"/>
    <w:rsid w:val="003E4780"/>
    <w:rsid w:val="003E4F31"/>
    <w:rsid w:val="003E5502"/>
    <w:rsid w:val="003E57EC"/>
    <w:rsid w:val="003E6088"/>
    <w:rsid w:val="003F1562"/>
    <w:rsid w:val="003F207F"/>
    <w:rsid w:val="003F3DF5"/>
    <w:rsid w:val="00400B03"/>
    <w:rsid w:val="00402233"/>
    <w:rsid w:val="00403B5E"/>
    <w:rsid w:val="00403BBB"/>
    <w:rsid w:val="00406AB4"/>
    <w:rsid w:val="00406D7E"/>
    <w:rsid w:val="004161B0"/>
    <w:rsid w:val="0041692F"/>
    <w:rsid w:val="00420399"/>
    <w:rsid w:val="0042417D"/>
    <w:rsid w:val="004245A7"/>
    <w:rsid w:val="004259F6"/>
    <w:rsid w:val="00434FFB"/>
    <w:rsid w:val="00435A6A"/>
    <w:rsid w:val="004372DC"/>
    <w:rsid w:val="00437468"/>
    <w:rsid w:val="00437E79"/>
    <w:rsid w:val="004405D4"/>
    <w:rsid w:val="00440644"/>
    <w:rsid w:val="0044428E"/>
    <w:rsid w:val="00444A18"/>
    <w:rsid w:val="00447D66"/>
    <w:rsid w:val="004505BB"/>
    <w:rsid w:val="00451A06"/>
    <w:rsid w:val="00451B1F"/>
    <w:rsid w:val="00453AFD"/>
    <w:rsid w:val="00457105"/>
    <w:rsid w:val="0046153F"/>
    <w:rsid w:val="00463880"/>
    <w:rsid w:val="004659F6"/>
    <w:rsid w:val="00473082"/>
    <w:rsid w:val="00476D48"/>
    <w:rsid w:val="00482AF2"/>
    <w:rsid w:val="00483FBE"/>
    <w:rsid w:val="00487674"/>
    <w:rsid w:val="00490C2B"/>
    <w:rsid w:val="0049295D"/>
    <w:rsid w:val="004A3514"/>
    <w:rsid w:val="004A5203"/>
    <w:rsid w:val="004A5D2C"/>
    <w:rsid w:val="004A760B"/>
    <w:rsid w:val="004B05BB"/>
    <w:rsid w:val="004B3B89"/>
    <w:rsid w:val="004B611B"/>
    <w:rsid w:val="004B6172"/>
    <w:rsid w:val="004B7AD2"/>
    <w:rsid w:val="004C0507"/>
    <w:rsid w:val="004C20FF"/>
    <w:rsid w:val="004C243A"/>
    <w:rsid w:val="004C2C75"/>
    <w:rsid w:val="004C3C41"/>
    <w:rsid w:val="004C4ABA"/>
    <w:rsid w:val="004C6779"/>
    <w:rsid w:val="004C6F56"/>
    <w:rsid w:val="004C766F"/>
    <w:rsid w:val="004D2B19"/>
    <w:rsid w:val="004D2C76"/>
    <w:rsid w:val="004D3155"/>
    <w:rsid w:val="004D322D"/>
    <w:rsid w:val="004D3396"/>
    <w:rsid w:val="004D39AE"/>
    <w:rsid w:val="004D4BDD"/>
    <w:rsid w:val="004D6F0B"/>
    <w:rsid w:val="004E21A1"/>
    <w:rsid w:val="004E319E"/>
    <w:rsid w:val="004E5052"/>
    <w:rsid w:val="004E5376"/>
    <w:rsid w:val="004E5B86"/>
    <w:rsid w:val="004E6716"/>
    <w:rsid w:val="004E6FCE"/>
    <w:rsid w:val="004F129B"/>
    <w:rsid w:val="004F26ED"/>
    <w:rsid w:val="004F2A5E"/>
    <w:rsid w:val="004F43FF"/>
    <w:rsid w:val="004F52CF"/>
    <w:rsid w:val="004F5DBD"/>
    <w:rsid w:val="004F648B"/>
    <w:rsid w:val="00502226"/>
    <w:rsid w:val="00504229"/>
    <w:rsid w:val="00505022"/>
    <w:rsid w:val="005052F1"/>
    <w:rsid w:val="005054F2"/>
    <w:rsid w:val="005074C5"/>
    <w:rsid w:val="00507CFA"/>
    <w:rsid w:val="005108FF"/>
    <w:rsid w:val="005144EF"/>
    <w:rsid w:val="00520E52"/>
    <w:rsid w:val="00524F7E"/>
    <w:rsid w:val="005314E6"/>
    <w:rsid w:val="00531884"/>
    <w:rsid w:val="0053247F"/>
    <w:rsid w:val="00534E15"/>
    <w:rsid w:val="005355BD"/>
    <w:rsid w:val="005368AA"/>
    <w:rsid w:val="005408D9"/>
    <w:rsid w:val="00540FD4"/>
    <w:rsid w:val="0054341C"/>
    <w:rsid w:val="0054369B"/>
    <w:rsid w:val="005461DE"/>
    <w:rsid w:val="00553677"/>
    <w:rsid w:val="00553ACB"/>
    <w:rsid w:val="00555D13"/>
    <w:rsid w:val="00561445"/>
    <w:rsid w:val="00562828"/>
    <w:rsid w:val="00562F13"/>
    <w:rsid w:val="005655C0"/>
    <w:rsid w:val="005669E6"/>
    <w:rsid w:val="005675D7"/>
    <w:rsid w:val="00567EBB"/>
    <w:rsid w:val="00570147"/>
    <w:rsid w:val="00570FFD"/>
    <w:rsid w:val="005778AC"/>
    <w:rsid w:val="00581980"/>
    <w:rsid w:val="00581D8C"/>
    <w:rsid w:val="005910D9"/>
    <w:rsid w:val="00594E41"/>
    <w:rsid w:val="005A09A6"/>
    <w:rsid w:val="005A0F8A"/>
    <w:rsid w:val="005A1F18"/>
    <w:rsid w:val="005A2730"/>
    <w:rsid w:val="005A441C"/>
    <w:rsid w:val="005A4B05"/>
    <w:rsid w:val="005B06AB"/>
    <w:rsid w:val="005B2CCD"/>
    <w:rsid w:val="005B5F26"/>
    <w:rsid w:val="005B7161"/>
    <w:rsid w:val="005B7278"/>
    <w:rsid w:val="005B7AB0"/>
    <w:rsid w:val="005C08C7"/>
    <w:rsid w:val="005C3B7C"/>
    <w:rsid w:val="005C4377"/>
    <w:rsid w:val="005C578E"/>
    <w:rsid w:val="005C6100"/>
    <w:rsid w:val="005C6B12"/>
    <w:rsid w:val="005D0384"/>
    <w:rsid w:val="005D0F03"/>
    <w:rsid w:val="005D204D"/>
    <w:rsid w:val="005D27D2"/>
    <w:rsid w:val="005D713C"/>
    <w:rsid w:val="005D7D71"/>
    <w:rsid w:val="005E0461"/>
    <w:rsid w:val="005E45EC"/>
    <w:rsid w:val="005E650D"/>
    <w:rsid w:val="005F0F71"/>
    <w:rsid w:val="005F6053"/>
    <w:rsid w:val="005F6195"/>
    <w:rsid w:val="005F62B3"/>
    <w:rsid w:val="006003A0"/>
    <w:rsid w:val="006011A5"/>
    <w:rsid w:val="00602F62"/>
    <w:rsid w:val="00603DE6"/>
    <w:rsid w:val="006042A2"/>
    <w:rsid w:val="006043F1"/>
    <w:rsid w:val="006065ED"/>
    <w:rsid w:val="006073FE"/>
    <w:rsid w:val="00613E90"/>
    <w:rsid w:val="006171B5"/>
    <w:rsid w:val="00622C01"/>
    <w:rsid w:val="00622C10"/>
    <w:rsid w:val="00624EAE"/>
    <w:rsid w:val="00625C98"/>
    <w:rsid w:val="00625CFB"/>
    <w:rsid w:val="0062645B"/>
    <w:rsid w:val="00630641"/>
    <w:rsid w:val="0063171A"/>
    <w:rsid w:val="00633C02"/>
    <w:rsid w:val="0064048A"/>
    <w:rsid w:val="00643025"/>
    <w:rsid w:val="00644F6C"/>
    <w:rsid w:val="00645E2B"/>
    <w:rsid w:val="00647713"/>
    <w:rsid w:val="006534AB"/>
    <w:rsid w:val="00654CFB"/>
    <w:rsid w:val="00656291"/>
    <w:rsid w:val="006576EC"/>
    <w:rsid w:val="00663C32"/>
    <w:rsid w:val="00666C4D"/>
    <w:rsid w:val="006705B6"/>
    <w:rsid w:val="00672FCE"/>
    <w:rsid w:val="00674A24"/>
    <w:rsid w:val="00674B32"/>
    <w:rsid w:val="00675003"/>
    <w:rsid w:val="00675066"/>
    <w:rsid w:val="006754AE"/>
    <w:rsid w:val="00676C3F"/>
    <w:rsid w:val="0068150D"/>
    <w:rsid w:val="00686D2D"/>
    <w:rsid w:val="00690EA9"/>
    <w:rsid w:val="00691314"/>
    <w:rsid w:val="00691E20"/>
    <w:rsid w:val="00692176"/>
    <w:rsid w:val="00693B95"/>
    <w:rsid w:val="00693C1D"/>
    <w:rsid w:val="00697CBD"/>
    <w:rsid w:val="006A178D"/>
    <w:rsid w:val="006A18F5"/>
    <w:rsid w:val="006A1FD0"/>
    <w:rsid w:val="006A20DA"/>
    <w:rsid w:val="006A53F8"/>
    <w:rsid w:val="006A634F"/>
    <w:rsid w:val="006A6D59"/>
    <w:rsid w:val="006A7613"/>
    <w:rsid w:val="006B233B"/>
    <w:rsid w:val="006B2CC6"/>
    <w:rsid w:val="006B7AD9"/>
    <w:rsid w:val="006B7FC9"/>
    <w:rsid w:val="006C4460"/>
    <w:rsid w:val="006C4648"/>
    <w:rsid w:val="006C5EC0"/>
    <w:rsid w:val="006D2B8F"/>
    <w:rsid w:val="006D5EA7"/>
    <w:rsid w:val="006E028D"/>
    <w:rsid w:val="006E3FAC"/>
    <w:rsid w:val="006E5375"/>
    <w:rsid w:val="006E6F04"/>
    <w:rsid w:val="006F1166"/>
    <w:rsid w:val="006F35BD"/>
    <w:rsid w:val="006F4B53"/>
    <w:rsid w:val="006F4F49"/>
    <w:rsid w:val="006F5609"/>
    <w:rsid w:val="00705E1D"/>
    <w:rsid w:val="007067E4"/>
    <w:rsid w:val="0070695A"/>
    <w:rsid w:val="00707ADC"/>
    <w:rsid w:val="00713B84"/>
    <w:rsid w:val="00714EB9"/>
    <w:rsid w:val="00715866"/>
    <w:rsid w:val="00720E18"/>
    <w:rsid w:val="00721ED8"/>
    <w:rsid w:val="00722837"/>
    <w:rsid w:val="00723436"/>
    <w:rsid w:val="00724400"/>
    <w:rsid w:val="007271DC"/>
    <w:rsid w:val="00727E5D"/>
    <w:rsid w:val="0073049E"/>
    <w:rsid w:val="007304C6"/>
    <w:rsid w:val="0073206C"/>
    <w:rsid w:val="00732C78"/>
    <w:rsid w:val="00733BAF"/>
    <w:rsid w:val="007347D4"/>
    <w:rsid w:val="00740841"/>
    <w:rsid w:val="00741835"/>
    <w:rsid w:val="00744F0D"/>
    <w:rsid w:val="00745E0D"/>
    <w:rsid w:val="007471CD"/>
    <w:rsid w:val="00747CD4"/>
    <w:rsid w:val="00747D4D"/>
    <w:rsid w:val="007522A0"/>
    <w:rsid w:val="0075322C"/>
    <w:rsid w:val="007544F8"/>
    <w:rsid w:val="00760E7D"/>
    <w:rsid w:val="00765984"/>
    <w:rsid w:val="00767F96"/>
    <w:rsid w:val="0077351D"/>
    <w:rsid w:val="00773D46"/>
    <w:rsid w:val="00774E54"/>
    <w:rsid w:val="00775860"/>
    <w:rsid w:val="007767AD"/>
    <w:rsid w:val="00777BF2"/>
    <w:rsid w:val="0078008B"/>
    <w:rsid w:val="007808DF"/>
    <w:rsid w:val="00781F60"/>
    <w:rsid w:val="007847B0"/>
    <w:rsid w:val="00784B7D"/>
    <w:rsid w:val="007850F0"/>
    <w:rsid w:val="0078633A"/>
    <w:rsid w:val="0078661F"/>
    <w:rsid w:val="00786659"/>
    <w:rsid w:val="00787076"/>
    <w:rsid w:val="00791C15"/>
    <w:rsid w:val="00791DB5"/>
    <w:rsid w:val="00795514"/>
    <w:rsid w:val="00796DF0"/>
    <w:rsid w:val="007A2B18"/>
    <w:rsid w:val="007A2D2E"/>
    <w:rsid w:val="007A2F79"/>
    <w:rsid w:val="007A355E"/>
    <w:rsid w:val="007A4A50"/>
    <w:rsid w:val="007A61E5"/>
    <w:rsid w:val="007A6390"/>
    <w:rsid w:val="007B1252"/>
    <w:rsid w:val="007B1A6C"/>
    <w:rsid w:val="007B1D4C"/>
    <w:rsid w:val="007B6304"/>
    <w:rsid w:val="007B6CFC"/>
    <w:rsid w:val="007C0780"/>
    <w:rsid w:val="007C1522"/>
    <w:rsid w:val="007C1D65"/>
    <w:rsid w:val="007C271C"/>
    <w:rsid w:val="007C2ADB"/>
    <w:rsid w:val="007D1B50"/>
    <w:rsid w:val="007D48FC"/>
    <w:rsid w:val="007D55A9"/>
    <w:rsid w:val="007D6481"/>
    <w:rsid w:val="007D78AA"/>
    <w:rsid w:val="007E03CD"/>
    <w:rsid w:val="007E1902"/>
    <w:rsid w:val="007E4DF4"/>
    <w:rsid w:val="007E50DD"/>
    <w:rsid w:val="007E5EDE"/>
    <w:rsid w:val="007E765B"/>
    <w:rsid w:val="007F13C7"/>
    <w:rsid w:val="007F20F7"/>
    <w:rsid w:val="007F35AF"/>
    <w:rsid w:val="007F377C"/>
    <w:rsid w:val="007F422A"/>
    <w:rsid w:val="007F50DF"/>
    <w:rsid w:val="007F5B36"/>
    <w:rsid w:val="007F698F"/>
    <w:rsid w:val="008015DB"/>
    <w:rsid w:val="00805841"/>
    <w:rsid w:val="0081163A"/>
    <w:rsid w:val="00811A8F"/>
    <w:rsid w:val="008156BD"/>
    <w:rsid w:val="00816410"/>
    <w:rsid w:val="008210A8"/>
    <w:rsid w:val="008251AC"/>
    <w:rsid w:val="008256F3"/>
    <w:rsid w:val="008274F6"/>
    <w:rsid w:val="0083015E"/>
    <w:rsid w:val="00830820"/>
    <w:rsid w:val="00830B6F"/>
    <w:rsid w:val="008339A6"/>
    <w:rsid w:val="00841DA8"/>
    <w:rsid w:val="0084307B"/>
    <w:rsid w:val="0085291D"/>
    <w:rsid w:val="0085399F"/>
    <w:rsid w:val="00854B32"/>
    <w:rsid w:val="00855580"/>
    <w:rsid w:val="0085785C"/>
    <w:rsid w:val="00860F0A"/>
    <w:rsid w:val="00871207"/>
    <w:rsid w:val="0087187C"/>
    <w:rsid w:val="0087204F"/>
    <w:rsid w:val="00872D05"/>
    <w:rsid w:val="008735CF"/>
    <w:rsid w:val="0087376F"/>
    <w:rsid w:val="008765A6"/>
    <w:rsid w:val="008778F4"/>
    <w:rsid w:val="00881BDE"/>
    <w:rsid w:val="0088251A"/>
    <w:rsid w:val="00883277"/>
    <w:rsid w:val="008838E8"/>
    <w:rsid w:val="00886635"/>
    <w:rsid w:val="00887207"/>
    <w:rsid w:val="00887367"/>
    <w:rsid w:val="0089424E"/>
    <w:rsid w:val="00895160"/>
    <w:rsid w:val="00897B40"/>
    <w:rsid w:val="008B21DA"/>
    <w:rsid w:val="008B27EC"/>
    <w:rsid w:val="008B313F"/>
    <w:rsid w:val="008B3535"/>
    <w:rsid w:val="008B38C1"/>
    <w:rsid w:val="008B5974"/>
    <w:rsid w:val="008B72DA"/>
    <w:rsid w:val="008C0BD5"/>
    <w:rsid w:val="008C573B"/>
    <w:rsid w:val="008D02F0"/>
    <w:rsid w:val="008D048B"/>
    <w:rsid w:val="008D10BA"/>
    <w:rsid w:val="008D1815"/>
    <w:rsid w:val="008D4F11"/>
    <w:rsid w:val="008D52C0"/>
    <w:rsid w:val="008D5A24"/>
    <w:rsid w:val="008D5FAF"/>
    <w:rsid w:val="008E0699"/>
    <w:rsid w:val="008E0C0E"/>
    <w:rsid w:val="008E3A98"/>
    <w:rsid w:val="008E5248"/>
    <w:rsid w:val="008E7BF1"/>
    <w:rsid w:val="008F60E2"/>
    <w:rsid w:val="008F6EAF"/>
    <w:rsid w:val="008F7D13"/>
    <w:rsid w:val="0090146B"/>
    <w:rsid w:val="00901B16"/>
    <w:rsid w:val="009028C6"/>
    <w:rsid w:val="0090320A"/>
    <w:rsid w:val="0090511C"/>
    <w:rsid w:val="00905634"/>
    <w:rsid w:val="00910E4E"/>
    <w:rsid w:val="0091166A"/>
    <w:rsid w:val="009149CA"/>
    <w:rsid w:val="009154A6"/>
    <w:rsid w:val="00923C65"/>
    <w:rsid w:val="00924D9D"/>
    <w:rsid w:val="00926BD1"/>
    <w:rsid w:val="009325BF"/>
    <w:rsid w:val="00934141"/>
    <w:rsid w:val="00935AAF"/>
    <w:rsid w:val="00937441"/>
    <w:rsid w:val="00937719"/>
    <w:rsid w:val="009447DF"/>
    <w:rsid w:val="00944C3F"/>
    <w:rsid w:val="00944E79"/>
    <w:rsid w:val="00945982"/>
    <w:rsid w:val="009474FE"/>
    <w:rsid w:val="00954ACA"/>
    <w:rsid w:val="00957727"/>
    <w:rsid w:val="009606D3"/>
    <w:rsid w:val="00961202"/>
    <w:rsid w:val="00962AA1"/>
    <w:rsid w:val="00964BC7"/>
    <w:rsid w:val="00966C74"/>
    <w:rsid w:val="00966E02"/>
    <w:rsid w:val="00967062"/>
    <w:rsid w:val="00971435"/>
    <w:rsid w:val="00973BC0"/>
    <w:rsid w:val="009778D5"/>
    <w:rsid w:val="00980625"/>
    <w:rsid w:val="00980707"/>
    <w:rsid w:val="009825F8"/>
    <w:rsid w:val="00983A0B"/>
    <w:rsid w:val="0098419D"/>
    <w:rsid w:val="0098481F"/>
    <w:rsid w:val="0098518D"/>
    <w:rsid w:val="009858A8"/>
    <w:rsid w:val="00986263"/>
    <w:rsid w:val="00991D94"/>
    <w:rsid w:val="00994846"/>
    <w:rsid w:val="00995827"/>
    <w:rsid w:val="009972CA"/>
    <w:rsid w:val="009A05B0"/>
    <w:rsid w:val="009A21CE"/>
    <w:rsid w:val="009A3E36"/>
    <w:rsid w:val="009A4308"/>
    <w:rsid w:val="009A5143"/>
    <w:rsid w:val="009A656C"/>
    <w:rsid w:val="009A719A"/>
    <w:rsid w:val="009B0463"/>
    <w:rsid w:val="009B0A52"/>
    <w:rsid w:val="009B0E91"/>
    <w:rsid w:val="009B1264"/>
    <w:rsid w:val="009B5060"/>
    <w:rsid w:val="009B59F8"/>
    <w:rsid w:val="009C05ED"/>
    <w:rsid w:val="009C341B"/>
    <w:rsid w:val="009C49B2"/>
    <w:rsid w:val="009C51A8"/>
    <w:rsid w:val="009C53FB"/>
    <w:rsid w:val="009C5719"/>
    <w:rsid w:val="009C6997"/>
    <w:rsid w:val="009D0B42"/>
    <w:rsid w:val="009D357D"/>
    <w:rsid w:val="009D5433"/>
    <w:rsid w:val="009D6546"/>
    <w:rsid w:val="009D7A22"/>
    <w:rsid w:val="009E222F"/>
    <w:rsid w:val="009E6141"/>
    <w:rsid w:val="009E6C0E"/>
    <w:rsid w:val="009E6E03"/>
    <w:rsid w:val="009E7BB3"/>
    <w:rsid w:val="009F1266"/>
    <w:rsid w:val="009F7AD5"/>
    <w:rsid w:val="00A00A2C"/>
    <w:rsid w:val="00A01CC0"/>
    <w:rsid w:val="00A12D78"/>
    <w:rsid w:val="00A201B1"/>
    <w:rsid w:val="00A24A74"/>
    <w:rsid w:val="00A26058"/>
    <w:rsid w:val="00A376BA"/>
    <w:rsid w:val="00A41B6E"/>
    <w:rsid w:val="00A42E31"/>
    <w:rsid w:val="00A4763F"/>
    <w:rsid w:val="00A51278"/>
    <w:rsid w:val="00A5397B"/>
    <w:rsid w:val="00A53BD1"/>
    <w:rsid w:val="00A57C79"/>
    <w:rsid w:val="00A61BDF"/>
    <w:rsid w:val="00A61D5E"/>
    <w:rsid w:val="00A6400F"/>
    <w:rsid w:val="00A64A4C"/>
    <w:rsid w:val="00A650B9"/>
    <w:rsid w:val="00A73629"/>
    <w:rsid w:val="00A75839"/>
    <w:rsid w:val="00A75E3B"/>
    <w:rsid w:val="00A767FF"/>
    <w:rsid w:val="00A83E1D"/>
    <w:rsid w:val="00A84C05"/>
    <w:rsid w:val="00A84FCC"/>
    <w:rsid w:val="00A917CE"/>
    <w:rsid w:val="00A921AC"/>
    <w:rsid w:val="00A93473"/>
    <w:rsid w:val="00A93797"/>
    <w:rsid w:val="00A9396B"/>
    <w:rsid w:val="00A97D7F"/>
    <w:rsid w:val="00AA0BA2"/>
    <w:rsid w:val="00AA33A1"/>
    <w:rsid w:val="00AA5A68"/>
    <w:rsid w:val="00AA70EB"/>
    <w:rsid w:val="00AB0C10"/>
    <w:rsid w:val="00AB18C1"/>
    <w:rsid w:val="00AB6DD1"/>
    <w:rsid w:val="00AB7027"/>
    <w:rsid w:val="00AB752E"/>
    <w:rsid w:val="00AB7B17"/>
    <w:rsid w:val="00AC10D1"/>
    <w:rsid w:val="00AC2FA5"/>
    <w:rsid w:val="00AC7EC7"/>
    <w:rsid w:val="00AC7F79"/>
    <w:rsid w:val="00AD2A69"/>
    <w:rsid w:val="00AD3390"/>
    <w:rsid w:val="00AD3E37"/>
    <w:rsid w:val="00AD660D"/>
    <w:rsid w:val="00AD6678"/>
    <w:rsid w:val="00AE1198"/>
    <w:rsid w:val="00AE1CD1"/>
    <w:rsid w:val="00AE491F"/>
    <w:rsid w:val="00AE6203"/>
    <w:rsid w:val="00AF1046"/>
    <w:rsid w:val="00AF43F9"/>
    <w:rsid w:val="00AF7335"/>
    <w:rsid w:val="00B00C18"/>
    <w:rsid w:val="00B01A44"/>
    <w:rsid w:val="00B022F7"/>
    <w:rsid w:val="00B02B04"/>
    <w:rsid w:val="00B042AC"/>
    <w:rsid w:val="00B05265"/>
    <w:rsid w:val="00B055DA"/>
    <w:rsid w:val="00B05BAE"/>
    <w:rsid w:val="00B07C6F"/>
    <w:rsid w:val="00B07C8A"/>
    <w:rsid w:val="00B07EEF"/>
    <w:rsid w:val="00B107CB"/>
    <w:rsid w:val="00B1264A"/>
    <w:rsid w:val="00B1337E"/>
    <w:rsid w:val="00B15FB8"/>
    <w:rsid w:val="00B22111"/>
    <w:rsid w:val="00B23613"/>
    <w:rsid w:val="00B244AE"/>
    <w:rsid w:val="00B24B86"/>
    <w:rsid w:val="00B25BB1"/>
    <w:rsid w:val="00B264AC"/>
    <w:rsid w:val="00B267DE"/>
    <w:rsid w:val="00B2692E"/>
    <w:rsid w:val="00B303F0"/>
    <w:rsid w:val="00B345E9"/>
    <w:rsid w:val="00B34BBB"/>
    <w:rsid w:val="00B35D21"/>
    <w:rsid w:val="00B37075"/>
    <w:rsid w:val="00B377C6"/>
    <w:rsid w:val="00B3782A"/>
    <w:rsid w:val="00B406CB"/>
    <w:rsid w:val="00B415AF"/>
    <w:rsid w:val="00B41671"/>
    <w:rsid w:val="00B44EDA"/>
    <w:rsid w:val="00B46314"/>
    <w:rsid w:val="00B515FF"/>
    <w:rsid w:val="00B517BA"/>
    <w:rsid w:val="00B56CE9"/>
    <w:rsid w:val="00B57622"/>
    <w:rsid w:val="00B57C39"/>
    <w:rsid w:val="00B629F3"/>
    <w:rsid w:val="00B65EB4"/>
    <w:rsid w:val="00B71A7D"/>
    <w:rsid w:val="00B71C68"/>
    <w:rsid w:val="00B71E03"/>
    <w:rsid w:val="00B74519"/>
    <w:rsid w:val="00B751FD"/>
    <w:rsid w:val="00B764A2"/>
    <w:rsid w:val="00B8167C"/>
    <w:rsid w:val="00B82D06"/>
    <w:rsid w:val="00B852F5"/>
    <w:rsid w:val="00B87BD7"/>
    <w:rsid w:val="00B900D3"/>
    <w:rsid w:val="00B90DB4"/>
    <w:rsid w:val="00B9131B"/>
    <w:rsid w:val="00B91C9E"/>
    <w:rsid w:val="00B91D01"/>
    <w:rsid w:val="00B92AE8"/>
    <w:rsid w:val="00B92F84"/>
    <w:rsid w:val="00B941E4"/>
    <w:rsid w:val="00B945DF"/>
    <w:rsid w:val="00B962E5"/>
    <w:rsid w:val="00B96808"/>
    <w:rsid w:val="00B96D23"/>
    <w:rsid w:val="00BA129D"/>
    <w:rsid w:val="00BA2CEB"/>
    <w:rsid w:val="00BA3A83"/>
    <w:rsid w:val="00BA5C66"/>
    <w:rsid w:val="00BB02A4"/>
    <w:rsid w:val="00BB089A"/>
    <w:rsid w:val="00BB7B9E"/>
    <w:rsid w:val="00BB7FBF"/>
    <w:rsid w:val="00BC1656"/>
    <w:rsid w:val="00BC3B05"/>
    <w:rsid w:val="00BC4A6E"/>
    <w:rsid w:val="00BD7F6F"/>
    <w:rsid w:val="00BE0028"/>
    <w:rsid w:val="00BE1147"/>
    <w:rsid w:val="00BE16BD"/>
    <w:rsid w:val="00BE1AA7"/>
    <w:rsid w:val="00BE5AEF"/>
    <w:rsid w:val="00BE754B"/>
    <w:rsid w:val="00BE7989"/>
    <w:rsid w:val="00BF0C94"/>
    <w:rsid w:val="00BF2BC2"/>
    <w:rsid w:val="00BF327E"/>
    <w:rsid w:val="00BF6115"/>
    <w:rsid w:val="00C008B8"/>
    <w:rsid w:val="00C0198D"/>
    <w:rsid w:val="00C02FAC"/>
    <w:rsid w:val="00C042C6"/>
    <w:rsid w:val="00C05BBD"/>
    <w:rsid w:val="00C06AB4"/>
    <w:rsid w:val="00C1084C"/>
    <w:rsid w:val="00C11FD7"/>
    <w:rsid w:val="00C138AA"/>
    <w:rsid w:val="00C20461"/>
    <w:rsid w:val="00C2131F"/>
    <w:rsid w:val="00C234A2"/>
    <w:rsid w:val="00C241FF"/>
    <w:rsid w:val="00C26532"/>
    <w:rsid w:val="00C27D2F"/>
    <w:rsid w:val="00C328F7"/>
    <w:rsid w:val="00C33730"/>
    <w:rsid w:val="00C36568"/>
    <w:rsid w:val="00C37A2D"/>
    <w:rsid w:val="00C40E01"/>
    <w:rsid w:val="00C40FEF"/>
    <w:rsid w:val="00C432FA"/>
    <w:rsid w:val="00C4487E"/>
    <w:rsid w:val="00C448BF"/>
    <w:rsid w:val="00C45740"/>
    <w:rsid w:val="00C50A26"/>
    <w:rsid w:val="00C52511"/>
    <w:rsid w:val="00C54B13"/>
    <w:rsid w:val="00C56939"/>
    <w:rsid w:val="00C56F28"/>
    <w:rsid w:val="00C5704E"/>
    <w:rsid w:val="00C57CF6"/>
    <w:rsid w:val="00C6042E"/>
    <w:rsid w:val="00C60BF1"/>
    <w:rsid w:val="00C62299"/>
    <w:rsid w:val="00C63DFB"/>
    <w:rsid w:val="00C678A4"/>
    <w:rsid w:val="00C7054B"/>
    <w:rsid w:val="00C71351"/>
    <w:rsid w:val="00C71353"/>
    <w:rsid w:val="00C71B9F"/>
    <w:rsid w:val="00C72D73"/>
    <w:rsid w:val="00C73400"/>
    <w:rsid w:val="00C74D3E"/>
    <w:rsid w:val="00C7602E"/>
    <w:rsid w:val="00C76372"/>
    <w:rsid w:val="00C806F0"/>
    <w:rsid w:val="00C808E6"/>
    <w:rsid w:val="00C81EE9"/>
    <w:rsid w:val="00C82C70"/>
    <w:rsid w:val="00C83B4D"/>
    <w:rsid w:val="00C83C17"/>
    <w:rsid w:val="00C8580F"/>
    <w:rsid w:val="00C85C34"/>
    <w:rsid w:val="00C8697B"/>
    <w:rsid w:val="00C92386"/>
    <w:rsid w:val="00C9594F"/>
    <w:rsid w:val="00C97308"/>
    <w:rsid w:val="00CA19FD"/>
    <w:rsid w:val="00CA287E"/>
    <w:rsid w:val="00CA2950"/>
    <w:rsid w:val="00CA4F2F"/>
    <w:rsid w:val="00CA5A8A"/>
    <w:rsid w:val="00CA6B86"/>
    <w:rsid w:val="00CA7D46"/>
    <w:rsid w:val="00CB19AE"/>
    <w:rsid w:val="00CC0046"/>
    <w:rsid w:val="00CC00C8"/>
    <w:rsid w:val="00CC04A3"/>
    <w:rsid w:val="00CC1262"/>
    <w:rsid w:val="00CC4D53"/>
    <w:rsid w:val="00CC5B69"/>
    <w:rsid w:val="00CC7CCD"/>
    <w:rsid w:val="00CD123F"/>
    <w:rsid w:val="00CD26D6"/>
    <w:rsid w:val="00CD372F"/>
    <w:rsid w:val="00CD642F"/>
    <w:rsid w:val="00CD69B6"/>
    <w:rsid w:val="00CD75CA"/>
    <w:rsid w:val="00CD7989"/>
    <w:rsid w:val="00CD7CBB"/>
    <w:rsid w:val="00CE2AE5"/>
    <w:rsid w:val="00CE3A24"/>
    <w:rsid w:val="00CE5A20"/>
    <w:rsid w:val="00CF19E2"/>
    <w:rsid w:val="00CF458B"/>
    <w:rsid w:val="00CF493B"/>
    <w:rsid w:val="00D00A6E"/>
    <w:rsid w:val="00D03790"/>
    <w:rsid w:val="00D07695"/>
    <w:rsid w:val="00D109C8"/>
    <w:rsid w:val="00D11711"/>
    <w:rsid w:val="00D13C6B"/>
    <w:rsid w:val="00D15E7F"/>
    <w:rsid w:val="00D169DA"/>
    <w:rsid w:val="00D16D12"/>
    <w:rsid w:val="00D16F07"/>
    <w:rsid w:val="00D21616"/>
    <w:rsid w:val="00D22117"/>
    <w:rsid w:val="00D22239"/>
    <w:rsid w:val="00D225C3"/>
    <w:rsid w:val="00D22819"/>
    <w:rsid w:val="00D24FF2"/>
    <w:rsid w:val="00D266EE"/>
    <w:rsid w:val="00D26AEE"/>
    <w:rsid w:val="00D30404"/>
    <w:rsid w:val="00D30607"/>
    <w:rsid w:val="00D3117F"/>
    <w:rsid w:val="00D31959"/>
    <w:rsid w:val="00D32933"/>
    <w:rsid w:val="00D330B7"/>
    <w:rsid w:val="00D34F7D"/>
    <w:rsid w:val="00D35B29"/>
    <w:rsid w:val="00D42748"/>
    <w:rsid w:val="00D42CFA"/>
    <w:rsid w:val="00D45A7D"/>
    <w:rsid w:val="00D5081D"/>
    <w:rsid w:val="00D516EF"/>
    <w:rsid w:val="00D517CF"/>
    <w:rsid w:val="00D5308E"/>
    <w:rsid w:val="00D533E5"/>
    <w:rsid w:val="00D557DB"/>
    <w:rsid w:val="00D55A5F"/>
    <w:rsid w:val="00D57A57"/>
    <w:rsid w:val="00D62E93"/>
    <w:rsid w:val="00D64C91"/>
    <w:rsid w:val="00D66982"/>
    <w:rsid w:val="00D708D2"/>
    <w:rsid w:val="00D71752"/>
    <w:rsid w:val="00D7237A"/>
    <w:rsid w:val="00D72630"/>
    <w:rsid w:val="00D72C63"/>
    <w:rsid w:val="00D731CA"/>
    <w:rsid w:val="00D754A8"/>
    <w:rsid w:val="00D770C1"/>
    <w:rsid w:val="00D77106"/>
    <w:rsid w:val="00D7739E"/>
    <w:rsid w:val="00D80D7B"/>
    <w:rsid w:val="00D810C4"/>
    <w:rsid w:val="00D8597D"/>
    <w:rsid w:val="00D909EF"/>
    <w:rsid w:val="00D91D64"/>
    <w:rsid w:val="00D91F91"/>
    <w:rsid w:val="00D925C9"/>
    <w:rsid w:val="00D97440"/>
    <w:rsid w:val="00DA1001"/>
    <w:rsid w:val="00DA4971"/>
    <w:rsid w:val="00DA6DF8"/>
    <w:rsid w:val="00DB1A05"/>
    <w:rsid w:val="00DB1F8E"/>
    <w:rsid w:val="00DB2059"/>
    <w:rsid w:val="00DB21E1"/>
    <w:rsid w:val="00DB4414"/>
    <w:rsid w:val="00DB50B7"/>
    <w:rsid w:val="00DB72D1"/>
    <w:rsid w:val="00DB7340"/>
    <w:rsid w:val="00DC0C7D"/>
    <w:rsid w:val="00DC1FBD"/>
    <w:rsid w:val="00DC47A4"/>
    <w:rsid w:val="00DC6BE8"/>
    <w:rsid w:val="00DD029C"/>
    <w:rsid w:val="00DD2A67"/>
    <w:rsid w:val="00DD5DC6"/>
    <w:rsid w:val="00DE1F29"/>
    <w:rsid w:val="00DE59D1"/>
    <w:rsid w:val="00DE698B"/>
    <w:rsid w:val="00DE6BE9"/>
    <w:rsid w:val="00DE75E8"/>
    <w:rsid w:val="00DF0C77"/>
    <w:rsid w:val="00DF1218"/>
    <w:rsid w:val="00DF4B31"/>
    <w:rsid w:val="00DF4C32"/>
    <w:rsid w:val="00DF4C7D"/>
    <w:rsid w:val="00DF4F93"/>
    <w:rsid w:val="00DF7617"/>
    <w:rsid w:val="00DF7D77"/>
    <w:rsid w:val="00E00F23"/>
    <w:rsid w:val="00E0262E"/>
    <w:rsid w:val="00E029F4"/>
    <w:rsid w:val="00E03C27"/>
    <w:rsid w:val="00E03EC0"/>
    <w:rsid w:val="00E061DE"/>
    <w:rsid w:val="00E1186D"/>
    <w:rsid w:val="00E11E22"/>
    <w:rsid w:val="00E17FDF"/>
    <w:rsid w:val="00E21D73"/>
    <w:rsid w:val="00E2665B"/>
    <w:rsid w:val="00E26669"/>
    <w:rsid w:val="00E27C9B"/>
    <w:rsid w:val="00E36638"/>
    <w:rsid w:val="00E42B3D"/>
    <w:rsid w:val="00E42FBC"/>
    <w:rsid w:val="00E467CD"/>
    <w:rsid w:val="00E56184"/>
    <w:rsid w:val="00E57D59"/>
    <w:rsid w:val="00E62024"/>
    <w:rsid w:val="00E62E12"/>
    <w:rsid w:val="00E62E43"/>
    <w:rsid w:val="00E7050D"/>
    <w:rsid w:val="00E73D16"/>
    <w:rsid w:val="00E73F33"/>
    <w:rsid w:val="00E75B88"/>
    <w:rsid w:val="00E7799E"/>
    <w:rsid w:val="00E77CEF"/>
    <w:rsid w:val="00E77D59"/>
    <w:rsid w:val="00E80390"/>
    <w:rsid w:val="00E8263F"/>
    <w:rsid w:val="00E8299D"/>
    <w:rsid w:val="00E860A1"/>
    <w:rsid w:val="00E86170"/>
    <w:rsid w:val="00E86573"/>
    <w:rsid w:val="00E902A9"/>
    <w:rsid w:val="00E94436"/>
    <w:rsid w:val="00E957A5"/>
    <w:rsid w:val="00E957EC"/>
    <w:rsid w:val="00E96C25"/>
    <w:rsid w:val="00EA2A33"/>
    <w:rsid w:val="00EA4AE7"/>
    <w:rsid w:val="00EA62C0"/>
    <w:rsid w:val="00EA688B"/>
    <w:rsid w:val="00EB1FBE"/>
    <w:rsid w:val="00EB2A0B"/>
    <w:rsid w:val="00EB3429"/>
    <w:rsid w:val="00EB41B3"/>
    <w:rsid w:val="00EB58B5"/>
    <w:rsid w:val="00EB5A46"/>
    <w:rsid w:val="00EB7488"/>
    <w:rsid w:val="00EB7A14"/>
    <w:rsid w:val="00EC1B16"/>
    <w:rsid w:val="00EC2DD1"/>
    <w:rsid w:val="00EC60C1"/>
    <w:rsid w:val="00EC7602"/>
    <w:rsid w:val="00ED0B05"/>
    <w:rsid w:val="00ED4A76"/>
    <w:rsid w:val="00ED4A9F"/>
    <w:rsid w:val="00ED6110"/>
    <w:rsid w:val="00ED6D91"/>
    <w:rsid w:val="00EE52D4"/>
    <w:rsid w:val="00EF3817"/>
    <w:rsid w:val="00EF4412"/>
    <w:rsid w:val="00EF4426"/>
    <w:rsid w:val="00EF45F3"/>
    <w:rsid w:val="00EF5599"/>
    <w:rsid w:val="00F00D9C"/>
    <w:rsid w:val="00F01089"/>
    <w:rsid w:val="00F01144"/>
    <w:rsid w:val="00F04CEE"/>
    <w:rsid w:val="00F074F4"/>
    <w:rsid w:val="00F10835"/>
    <w:rsid w:val="00F11171"/>
    <w:rsid w:val="00F120E2"/>
    <w:rsid w:val="00F13A8A"/>
    <w:rsid w:val="00F13D59"/>
    <w:rsid w:val="00F15FD3"/>
    <w:rsid w:val="00F16F53"/>
    <w:rsid w:val="00F1750E"/>
    <w:rsid w:val="00F17E9E"/>
    <w:rsid w:val="00F20465"/>
    <w:rsid w:val="00F22FF1"/>
    <w:rsid w:val="00F25FD5"/>
    <w:rsid w:val="00F27547"/>
    <w:rsid w:val="00F30509"/>
    <w:rsid w:val="00F30A83"/>
    <w:rsid w:val="00F3196C"/>
    <w:rsid w:val="00F33D27"/>
    <w:rsid w:val="00F34F6F"/>
    <w:rsid w:val="00F35E22"/>
    <w:rsid w:val="00F36A71"/>
    <w:rsid w:val="00F41164"/>
    <w:rsid w:val="00F4190C"/>
    <w:rsid w:val="00F43D8C"/>
    <w:rsid w:val="00F4612D"/>
    <w:rsid w:val="00F474DF"/>
    <w:rsid w:val="00F53222"/>
    <w:rsid w:val="00F53CCC"/>
    <w:rsid w:val="00F549D6"/>
    <w:rsid w:val="00F55D14"/>
    <w:rsid w:val="00F62BB1"/>
    <w:rsid w:val="00F64389"/>
    <w:rsid w:val="00F67D05"/>
    <w:rsid w:val="00F71CF8"/>
    <w:rsid w:val="00F72B25"/>
    <w:rsid w:val="00F74133"/>
    <w:rsid w:val="00F74DA9"/>
    <w:rsid w:val="00F84DAD"/>
    <w:rsid w:val="00F864BC"/>
    <w:rsid w:val="00F86A33"/>
    <w:rsid w:val="00F8742A"/>
    <w:rsid w:val="00F90297"/>
    <w:rsid w:val="00F90478"/>
    <w:rsid w:val="00F92261"/>
    <w:rsid w:val="00F92CE3"/>
    <w:rsid w:val="00F93B2E"/>
    <w:rsid w:val="00F956F0"/>
    <w:rsid w:val="00FA0196"/>
    <w:rsid w:val="00FA0594"/>
    <w:rsid w:val="00FA46BB"/>
    <w:rsid w:val="00FA4967"/>
    <w:rsid w:val="00FA4F09"/>
    <w:rsid w:val="00FA5F4F"/>
    <w:rsid w:val="00FA69ED"/>
    <w:rsid w:val="00FA77B0"/>
    <w:rsid w:val="00FA7944"/>
    <w:rsid w:val="00FB0797"/>
    <w:rsid w:val="00FB0844"/>
    <w:rsid w:val="00FB0ACC"/>
    <w:rsid w:val="00FB0CE9"/>
    <w:rsid w:val="00FB2F8C"/>
    <w:rsid w:val="00FB48AB"/>
    <w:rsid w:val="00FB6552"/>
    <w:rsid w:val="00FC30ED"/>
    <w:rsid w:val="00FC3500"/>
    <w:rsid w:val="00FC3851"/>
    <w:rsid w:val="00FC3CBC"/>
    <w:rsid w:val="00FC4137"/>
    <w:rsid w:val="00FC61FE"/>
    <w:rsid w:val="00FD0C9B"/>
    <w:rsid w:val="00FD22DF"/>
    <w:rsid w:val="00FD331A"/>
    <w:rsid w:val="00FD52EF"/>
    <w:rsid w:val="00FE13FE"/>
    <w:rsid w:val="00FE2B1F"/>
    <w:rsid w:val="00FE340A"/>
    <w:rsid w:val="00FE3725"/>
    <w:rsid w:val="00FE4C3A"/>
    <w:rsid w:val="00FE7041"/>
    <w:rsid w:val="00FE7A84"/>
    <w:rsid w:val="00FE7E11"/>
    <w:rsid w:val="00FF0FCA"/>
    <w:rsid w:val="00FF6E35"/>
    <w:rsid w:val="00FF7852"/>
    <w:rsid w:val="00FF7DC3"/>
    <w:rsid w:val="0AE238F0"/>
    <w:rsid w:val="3242596A"/>
    <w:rsid w:val="476B70ED"/>
    <w:rsid w:val="4E6778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9" w:name="heading 5"/>
    <w:lsdException w:qFormat="1" w:unhideWhenUsed="0" w:uiPriority="9" w:name="heading 6"/>
    <w:lsdException w:qFormat="1" w:uiPriority="1" w:name="heading 7"/>
    <w:lsdException w:qFormat="1" w:uiPriority="0" w:name="heading 8"/>
    <w:lsdException w:qFormat="1" w:uiPriority="1"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uiPriority="0" w:name="Normal Indent"/>
    <w:lsdException w:uiPriority="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3" w:name="index heading"/>
    <w:lsdException w:qFormat="1" w:unhideWhenUsed="0" w:uiPriority="35" w:semiHidden="0" w:name="caption"/>
    <w:lsdException w:qFormat="1" w:unhideWhenUsed="0" w:uiPriority="99" w:semiHidden="0" w:name="table of figures"/>
    <w:lsdException w:uiPriority="0" w:name="envelope address"/>
    <w:lsdException w:uiPriority="0" w:name="envelope return"/>
    <w:lsdException w:qFormat="1" w:uiPriority="0" w:name="footnote reference"/>
    <w:lsdException w:unhideWhenUsed="0" w:uiPriority="99" w:name="annotation reference"/>
    <w:lsdException w:uiPriority="0" w:name="line number"/>
    <w:lsdException w:uiPriority="3"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qFormat="1" w:uiPriority="0" w:semiHidden="0" w:name="List 2"/>
    <w:lsdException w:uiPriority="0" w:name="List 3"/>
    <w:lsdException w:unhideWhenUsed="0" w:uiPriority="0" w:semiHidden="0" w:name="List 4"/>
    <w:lsdException w:unhideWhenUsed="0" w:uiPriority="0" w:semiHidden="0" w:name="List 5"/>
    <w:lsdException w:qFormat="1" w:unhideWhenUsed="0" w:uiPriority="0" w:semiHidden="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unhideWhenUsed="0" w:uiPriority="1"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nhideWhenUsed="0" w:uiPriority="99" w:semiHidden="0" w:name="FollowedHyperlink"/>
    <w:lsdException w:unhideWhenUsed="0" w:uiPriority="0" w:semiHidden="0" w:name="Strong"/>
    <w:lsdException w:unhideWhenUsed="0" w:uiPriority="0" w:semiHidden="0" w:name="Emphasis"/>
    <w:lsdException w:qFormat="1" w:unhideWhenUsed="0" w:uiPriority="99"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nhideWhenUsed="0"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unhideWhenUsed="0" w:uiPriority="39" w:semiHidden="0" w:name="Table Grid"/>
    <w:lsdException w:qFormat="1" w:unhideWhenUsed="0" w:uiPriority="99" w:semiHidden="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before="40" w:after="40"/>
      <w:ind w:left="624"/>
      <w:jc w:val="both"/>
    </w:pPr>
    <w:rPr>
      <w:rFonts w:ascii="Arial" w:hAnsi="Arial" w:eastAsia="宋体" w:cs="Arial"/>
      <w:kern w:val="2"/>
      <w:sz w:val="21"/>
      <w:lang w:val="en-US" w:eastAsia="zh-CN" w:bidi="ar-SA"/>
    </w:rPr>
  </w:style>
  <w:style w:type="paragraph" w:styleId="4">
    <w:name w:val="heading 1"/>
    <w:next w:val="5"/>
    <w:link w:val="138"/>
    <w:qFormat/>
    <w:uiPriority w:val="0"/>
    <w:pPr>
      <w:keepNext/>
      <w:numPr>
        <w:ilvl w:val="0"/>
        <w:numId w:val="1"/>
      </w:numPr>
      <w:snapToGrid w:val="0"/>
      <w:spacing w:before="240" w:after="240"/>
      <w:outlineLvl w:val="0"/>
    </w:pPr>
    <w:rPr>
      <w:rFonts w:ascii="Arial" w:hAnsi="Arial" w:eastAsia="宋体" w:cs="Arial"/>
      <w:b/>
      <w:color w:val="800000"/>
      <w:sz w:val="36"/>
      <w:szCs w:val="48"/>
      <w:lang w:val="en-US" w:eastAsia="zh-CN" w:bidi="ar-SA"/>
    </w:rPr>
  </w:style>
  <w:style w:type="paragraph" w:styleId="5">
    <w:name w:val="heading 2"/>
    <w:next w:val="6"/>
    <w:link w:val="122"/>
    <w:qFormat/>
    <w:uiPriority w:val="0"/>
    <w:pPr>
      <w:keepNext/>
      <w:numPr>
        <w:ilvl w:val="1"/>
        <w:numId w:val="1"/>
      </w:numPr>
      <w:autoSpaceDE w:val="0"/>
      <w:autoSpaceDN w:val="0"/>
      <w:adjustRightInd w:val="0"/>
      <w:snapToGrid w:val="0"/>
      <w:spacing w:before="240" w:after="240"/>
      <w:textAlignment w:val="bottom"/>
      <w:outlineLvl w:val="1"/>
    </w:pPr>
    <w:rPr>
      <w:rFonts w:ascii="Arial" w:hAnsi="Arial" w:eastAsia="黑体" w:cs="Arial"/>
      <w:bCs/>
      <w:color w:val="800000"/>
      <w:sz w:val="30"/>
      <w:szCs w:val="44"/>
      <w:lang w:val="en-US" w:eastAsia="zh-CN" w:bidi="ar-SA"/>
    </w:rPr>
  </w:style>
  <w:style w:type="paragraph" w:styleId="6">
    <w:name w:val="heading 3"/>
    <w:next w:val="7"/>
    <w:link w:val="139"/>
    <w:qFormat/>
    <w:uiPriority w:val="0"/>
    <w:pPr>
      <w:keepNext/>
      <w:numPr>
        <w:ilvl w:val="2"/>
        <w:numId w:val="1"/>
      </w:numPr>
      <w:snapToGrid w:val="0"/>
      <w:spacing w:before="240" w:after="240"/>
      <w:textAlignment w:val="baseline"/>
      <w:outlineLvl w:val="2"/>
    </w:pPr>
    <w:rPr>
      <w:rFonts w:ascii="Arial" w:hAnsi="Arial" w:eastAsia="黑体" w:cs="Arial"/>
      <w:bCs/>
      <w:color w:val="800000"/>
      <w:sz w:val="24"/>
      <w:szCs w:val="36"/>
      <w:lang w:val="en-US" w:eastAsia="zh-CN" w:bidi="ar-SA"/>
    </w:rPr>
  </w:style>
  <w:style w:type="paragraph" w:styleId="7">
    <w:name w:val="heading 4"/>
    <w:next w:val="1"/>
    <w:link w:val="123"/>
    <w:qFormat/>
    <w:uiPriority w:val="0"/>
    <w:pPr>
      <w:keepNext/>
      <w:numPr>
        <w:ilvl w:val="3"/>
        <w:numId w:val="1"/>
      </w:numPr>
      <w:spacing w:before="80" w:after="80"/>
      <w:textAlignment w:val="baseline"/>
      <w:outlineLvl w:val="3"/>
    </w:pPr>
    <w:rPr>
      <w:rFonts w:ascii="Arial" w:hAnsi="Arial" w:eastAsia="黑体" w:cs="Arial"/>
      <w:bCs/>
      <w:color w:val="800000"/>
      <w:sz w:val="21"/>
      <w:szCs w:val="22"/>
      <w:lang w:val="en-US" w:eastAsia="zh-CN" w:bidi="ar-SA"/>
    </w:rPr>
  </w:style>
  <w:style w:type="paragraph" w:styleId="8">
    <w:name w:val="heading 5"/>
    <w:next w:val="1"/>
    <w:link w:val="42"/>
    <w:semiHidden/>
    <w:qFormat/>
    <w:uiPriority w:val="9"/>
    <w:pPr>
      <w:spacing w:before="240"/>
      <w:ind w:left="879"/>
      <w:outlineLvl w:val="4"/>
    </w:pPr>
    <w:rPr>
      <w:rFonts w:ascii="Futura Bk" w:hAnsi="Futura Bk" w:eastAsia="宋体" w:cs="Arial"/>
      <w:color w:val="0090C8"/>
      <w:sz w:val="24"/>
      <w:szCs w:val="24"/>
      <w:lang w:val="en-US" w:eastAsia="zh-CN" w:bidi="ar-SA"/>
    </w:rPr>
  </w:style>
  <w:style w:type="paragraph" w:styleId="9">
    <w:name w:val="heading 6"/>
    <w:next w:val="1"/>
    <w:link w:val="140"/>
    <w:semiHidden/>
    <w:qFormat/>
    <w:uiPriority w:val="9"/>
    <w:pPr>
      <w:keepNext/>
      <w:keepLines/>
      <w:spacing w:before="240"/>
      <w:outlineLvl w:val="5"/>
    </w:pPr>
    <w:rPr>
      <w:rFonts w:ascii="Futura Hv" w:hAnsi="Futura Hv" w:eastAsia="黑体" w:cs="Times New Roman"/>
      <w:bCs/>
      <w:kern w:val="2"/>
      <w:sz w:val="22"/>
      <w:szCs w:val="22"/>
      <w:lang w:val="en-US" w:eastAsia="zh-CN" w:bidi="ar-SA"/>
    </w:rPr>
  </w:style>
  <w:style w:type="paragraph" w:styleId="10">
    <w:name w:val="heading 7"/>
    <w:basedOn w:val="1"/>
    <w:next w:val="1"/>
    <w:link w:val="118"/>
    <w:semiHidden/>
    <w:unhideWhenUsed/>
    <w:qFormat/>
    <w:uiPriority w:val="1"/>
    <w:pPr>
      <w:keepNext/>
      <w:keepLines/>
      <w:spacing w:before="240" w:after="64" w:line="320" w:lineRule="auto"/>
      <w:outlineLvl w:val="6"/>
    </w:pPr>
    <w:rPr>
      <w:b/>
      <w:bCs/>
      <w:sz w:val="24"/>
      <w:szCs w:val="24"/>
    </w:rPr>
  </w:style>
  <w:style w:type="paragraph" w:styleId="11">
    <w:name w:val="heading 8"/>
    <w:basedOn w:val="1"/>
    <w:next w:val="1"/>
    <w:link w:val="119"/>
    <w:semiHidden/>
    <w:unhideWhenUsed/>
    <w:qFormat/>
    <w:uiPriority w:val="0"/>
    <w:pPr>
      <w:keepNext/>
      <w:keepLines/>
      <w:spacing w:before="240" w:after="64" w:line="320" w:lineRule="auto"/>
      <w:outlineLvl w:val="7"/>
    </w:pPr>
    <w:rPr>
      <w:rFonts w:asciiTheme="majorHAnsi" w:hAnsiTheme="majorHAnsi" w:eastAsiaTheme="majorEastAsia" w:cstheme="majorBidi"/>
      <w:sz w:val="24"/>
      <w:szCs w:val="24"/>
    </w:rPr>
  </w:style>
  <w:style w:type="paragraph" w:styleId="12">
    <w:name w:val="heading 9"/>
    <w:basedOn w:val="1"/>
    <w:next w:val="1"/>
    <w:link w:val="120"/>
    <w:semiHidden/>
    <w:unhideWhenUsed/>
    <w:qFormat/>
    <w:uiPriority w:val="1"/>
    <w:pPr>
      <w:keepNext/>
      <w:keepLines/>
      <w:spacing w:before="240" w:after="64" w:line="320" w:lineRule="auto"/>
      <w:outlineLvl w:val="8"/>
    </w:pPr>
    <w:rPr>
      <w:rFonts w:asciiTheme="majorHAnsi" w:hAnsiTheme="majorHAnsi" w:eastAsiaTheme="majorEastAsia" w:cstheme="majorBidi"/>
      <w:szCs w:val="21"/>
    </w:rPr>
  </w:style>
  <w:style w:type="character" w:default="1" w:styleId="3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customStyle="1" w:styleId="2">
    <w:name w:val="样式 正文缩进1 + 首行缩进:  2 字符"/>
    <w:basedOn w:val="3"/>
    <w:qFormat/>
    <w:uiPriority w:val="0"/>
    <w:pPr>
      <w:ind w:firstLine="200"/>
    </w:pPr>
  </w:style>
  <w:style w:type="paragraph" w:customStyle="1" w:styleId="3">
    <w:name w:val="正文缩进1"/>
    <w:basedOn w:val="1"/>
    <w:qFormat/>
    <w:uiPriority w:val="0"/>
    <w:pPr>
      <w:ind w:firstLine="480"/>
    </w:pPr>
    <w:rPr>
      <w:rFonts w:cs="宋体"/>
      <w:sz w:val="24"/>
      <w:szCs w:val="20"/>
    </w:rPr>
  </w:style>
  <w:style w:type="paragraph" w:styleId="13">
    <w:name w:val="toc 7"/>
    <w:basedOn w:val="1"/>
    <w:next w:val="1"/>
    <w:qFormat/>
    <w:uiPriority w:val="39"/>
    <w:pPr>
      <w:ind w:left="2520"/>
    </w:pPr>
  </w:style>
  <w:style w:type="paragraph" w:styleId="14">
    <w:name w:val="caption"/>
    <w:basedOn w:val="1"/>
    <w:next w:val="1"/>
    <w:qFormat/>
    <w:uiPriority w:val="35"/>
    <w:pPr>
      <w:spacing w:before="152" w:after="160"/>
    </w:pPr>
    <w:rPr>
      <w:rFonts w:eastAsia="黑体"/>
    </w:rPr>
  </w:style>
  <w:style w:type="paragraph" w:styleId="15">
    <w:name w:val="Document Map"/>
    <w:basedOn w:val="1"/>
    <w:link w:val="142"/>
    <w:semiHidden/>
    <w:qFormat/>
    <w:uiPriority w:val="99"/>
    <w:pPr>
      <w:shd w:val="clear" w:color="auto" w:fill="000080"/>
    </w:pPr>
  </w:style>
  <w:style w:type="paragraph" w:styleId="16">
    <w:name w:val="annotation text"/>
    <w:basedOn w:val="1"/>
    <w:link w:val="114"/>
    <w:qFormat/>
    <w:uiPriority w:val="99"/>
    <w:pPr>
      <w:jc w:val="left"/>
    </w:pPr>
  </w:style>
  <w:style w:type="paragraph" w:styleId="17">
    <w:name w:val="List 2"/>
    <w:basedOn w:val="1"/>
    <w:next w:val="1"/>
    <w:unhideWhenUsed/>
    <w:qFormat/>
    <w:uiPriority w:val="0"/>
    <w:pPr>
      <w:autoSpaceDE w:val="0"/>
      <w:autoSpaceDN w:val="0"/>
      <w:spacing w:before="120" w:after="120"/>
      <w:ind w:left="100" w:leftChars="200" w:hanging="200" w:hangingChars="200"/>
      <w:contextualSpacing/>
      <w:jc w:val="left"/>
    </w:pPr>
    <w:rPr>
      <w:rFonts w:ascii="宋体" w:hAnsi="宋体" w:cs="宋体"/>
      <w:kern w:val="0"/>
      <w:sz w:val="24"/>
      <w:szCs w:val="22"/>
      <w:lang w:val="zh-CN" w:bidi="zh-CN"/>
    </w:rPr>
  </w:style>
  <w:style w:type="paragraph" w:styleId="18">
    <w:name w:val="List Bullet 2"/>
    <w:basedOn w:val="1"/>
    <w:qFormat/>
    <w:uiPriority w:val="0"/>
    <w:pPr>
      <w:tabs>
        <w:tab w:val="left" w:pos="780"/>
      </w:tabs>
      <w:snapToGrid w:val="0"/>
      <w:spacing w:before="80" w:after="80" w:line="300" w:lineRule="auto"/>
      <w:ind w:left="780" w:leftChars="200" w:hanging="360" w:hangingChars="200"/>
    </w:pPr>
    <w:rPr>
      <w:kern w:val="0"/>
      <w:szCs w:val="21"/>
    </w:rPr>
  </w:style>
  <w:style w:type="paragraph" w:styleId="19">
    <w:name w:val="toc 5"/>
    <w:basedOn w:val="1"/>
    <w:next w:val="1"/>
    <w:qFormat/>
    <w:uiPriority w:val="39"/>
    <w:pPr>
      <w:ind w:left="1680"/>
    </w:pPr>
  </w:style>
  <w:style w:type="paragraph" w:styleId="20">
    <w:name w:val="toc 3"/>
    <w:basedOn w:val="1"/>
    <w:next w:val="1"/>
    <w:qFormat/>
    <w:uiPriority w:val="39"/>
    <w:pPr>
      <w:tabs>
        <w:tab w:val="right" w:leader="middleDot" w:pos="9600"/>
      </w:tabs>
      <w:spacing w:before="60" w:after="0"/>
      <w:ind w:left="839"/>
      <w:jc w:val="left"/>
    </w:pPr>
    <w:rPr>
      <w:kern w:val="0"/>
      <w:sz w:val="20"/>
      <w:szCs w:val="19"/>
    </w:rPr>
  </w:style>
  <w:style w:type="paragraph" w:styleId="21">
    <w:name w:val="toc 8"/>
    <w:basedOn w:val="1"/>
    <w:next w:val="1"/>
    <w:qFormat/>
    <w:uiPriority w:val="39"/>
    <w:pPr>
      <w:ind w:left="2940"/>
    </w:pPr>
  </w:style>
  <w:style w:type="paragraph" w:styleId="22">
    <w:name w:val="Balloon Text"/>
    <w:basedOn w:val="1"/>
    <w:link w:val="144"/>
    <w:semiHidden/>
    <w:qFormat/>
    <w:uiPriority w:val="99"/>
    <w:rPr>
      <w:sz w:val="18"/>
      <w:szCs w:val="18"/>
    </w:rPr>
  </w:style>
  <w:style w:type="paragraph" w:styleId="23">
    <w:name w:val="footer"/>
    <w:basedOn w:val="1"/>
    <w:link w:val="130"/>
    <w:qFormat/>
    <w:uiPriority w:val="99"/>
    <w:pPr>
      <w:tabs>
        <w:tab w:val="center" w:pos="4153"/>
        <w:tab w:val="right" w:pos="8306"/>
      </w:tabs>
      <w:ind w:left="0"/>
      <w:jc w:val="center"/>
    </w:pPr>
    <w:rPr>
      <w:kern w:val="0"/>
      <w:sz w:val="18"/>
      <w:szCs w:val="18"/>
    </w:rPr>
  </w:style>
  <w:style w:type="paragraph" w:styleId="24">
    <w:name w:val="header"/>
    <w:basedOn w:val="1"/>
    <w:link w:val="141"/>
    <w:qFormat/>
    <w:uiPriority w:val="99"/>
    <w:pPr>
      <w:tabs>
        <w:tab w:val="left" w:pos="142"/>
        <w:tab w:val="center" w:pos="4153"/>
        <w:tab w:val="right" w:pos="9180"/>
      </w:tabs>
      <w:spacing w:before="0"/>
      <w:ind w:left="0"/>
      <w:jc w:val="left"/>
      <w:textAlignment w:val="baseline"/>
    </w:pPr>
    <w:rPr>
      <w:kern w:val="0"/>
      <w:sz w:val="18"/>
      <w:szCs w:val="18"/>
    </w:rPr>
  </w:style>
  <w:style w:type="paragraph" w:styleId="25">
    <w:name w:val="toc 1"/>
    <w:basedOn w:val="1"/>
    <w:next w:val="1"/>
    <w:qFormat/>
    <w:uiPriority w:val="39"/>
    <w:pPr>
      <w:keepNext/>
      <w:tabs>
        <w:tab w:val="right" w:leader="middleDot" w:pos="9600"/>
      </w:tabs>
      <w:spacing w:before="100" w:after="0"/>
      <w:ind w:left="0"/>
      <w:jc w:val="left"/>
      <w:textAlignment w:val="baseline"/>
    </w:pPr>
    <w:rPr>
      <w:rFonts w:eastAsia="黑体"/>
      <w:bCs/>
      <w:color w:val="800000"/>
      <w:kern w:val="0"/>
    </w:rPr>
  </w:style>
  <w:style w:type="paragraph" w:styleId="26">
    <w:name w:val="toc 4"/>
    <w:basedOn w:val="1"/>
    <w:next w:val="1"/>
    <w:qFormat/>
    <w:uiPriority w:val="39"/>
    <w:pPr>
      <w:ind w:left="1260"/>
    </w:pPr>
  </w:style>
  <w:style w:type="paragraph" w:styleId="27">
    <w:name w:val="footnote text"/>
    <w:basedOn w:val="1"/>
    <w:link w:val="147"/>
    <w:semiHidden/>
    <w:unhideWhenUsed/>
    <w:uiPriority w:val="0"/>
    <w:pPr>
      <w:snapToGrid w:val="0"/>
      <w:spacing w:after="80"/>
      <w:jc w:val="left"/>
    </w:pPr>
    <w:rPr>
      <w:sz w:val="18"/>
      <w:szCs w:val="18"/>
    </w:rPr>
  </w:style>
  <w:style w:type="paragraph" w:styleId="28">
    <w:name w:val="toc 6"/>
    <w:basedOn w:val="1"/>
    <w:next w:val="1"/>
    <w:uiPriority w:val="39"/>
    <w:pPr>
      <w:ind w:left="2100"/>
    </w:pPr>
  </w:style>
  <w:style w:type="paragraph" w:styleId="29">
    <w:name w:val="table of figures"/>
    <w:basedOn w:val="1"/>
    <w:next w:val="1"/>
    <w:qFormat/>
    <w:uiPriority w:val="99"/>
    <w:pPr>
      <w:ind w:left="840" w:hanging="420"/>
    </w:pPr>
  </w:style>
  <w:style w:type="paragraph" w:styleId="30">
    <w:name w:val="toc 2"/>
    <w:basedOn w:val="1"/>
    <w:next w:val="1"/>
    <w:uiPriority w:val="39"/>
    <w:pPr>
      <w:tabs>
        <w:tab w:val="right" w:leader="middleDot" w:pos="9600"/>
      </w:tabs>
      <w:spacing w:before="60" w:after="0"/>
      <w:ind w:left="420"/>
      <w:jc w:val="left"/>
    </w:pPr>
    <w:rPr>
      <w:kern w:val="0"/>
      <w:sz w:val="20"/>
      <w:szCs w:val="19"/>
    </w:rPr>
  </w:style>
  <w:style w:type="paragraph" w:styleId="31">
    <w:name w:val="toc 9"/>
    <w:basedOn w:val="1"/>
    <w:next w:val="1"/>
    <w:qFormat/>
    <w:uiPriority w:val="39"/>
    <w:pPr>
      <w:ind w:left="3360"/>
    </w:pPr>
  </w:style>
  <w:style w:type="paragraph" w:styleId="32">
    <w:name w:val="Normal (Web)"/>
    <w:basedOn w:val="1"/>
    <w:unhideWhenUsed/>
    <w:qFormat/>
    <w:uiPriority w:val="99"/>
    <w:pPr>
      <w:spacing w:before="100" w:beforeAutospacing="1" w:after="100" w:afterAutospacing="1"/>
      <w:ind w:left="0"/>
      <w:jc w:val="left"/>
    </w:pPr>
    <w:rPr>
      <w:rFonts w:ascii="宋体" w:hAnsi="宋体" w:cs="宋体"/>
      <w:kern w:val="0"/>
      <w:sz w:val="24"/>
      <w:szCs w:val="24"/>
    </w:rPr>
  </w:style>
  <w:style w:type="paragraph" w:styleId="33">
    <w:name w:val="annotation subject"/>
    <w:basedOn w:val="16"/>
    <w:next w:val="16"/>
    <w:link w:val="143"/>
    <w:semiHidden/>
    <w:uiPriority w:val="99"/>
    <w:rPr>
      <w:b/>
      <w:bCs/>
    </w:rPr>
  </w:style>
  <w:style w:type="table" w:styleId="35">
    <w:name w:val="Table Grid"/>
    <w:basedOn w:val="34"/>
    <w:uiPriority w:val="39"/>
    <w:pPr>
      <w:spacing w:before="80" w:after="8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6">
    <w:name w:val="Table Theme"/>
    <w:basedOn w:val="34"/>
    <w:qFormat/>
    <w:uiPriority w:val="99"/>
    <w:pPr>
      <w:spacing w:before="40" w:after="40"/>
      <w:ind w:left="624"/>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FollowedHyperlink"/>
    <w:basedOn w:val="37"/>
    <w:qFormat/>
    <w:uiPriority w:val="99"/>
    <w:rPr>
      <w:color w:val="800080"/>
      <w:u w:val="single"/>
    </w:rPr>
  </w:style>
  <w:style w:type="character" w:styleId="39">
    <w:name w:val="Hyperlink"/>
    <w:basedOn w:val="37"/>
    <w:qFormat/>
    <w:uiPriority w:val="99"/>
    <w:rPr>
      <w:color w:val="0000FF"/>
      <w:u w:val="single"/>
    </w:rPr>
  </w:style>
  <w:style w:type="character" w:styleId="40">
    <w:name w:val="annotation reference"/>
    <w:basedOn w:val="37"/>
    <w:semiHidden/>
    <w:uiPriority w:val="99"/>
    <w:rPr>
      <w:sz w:val="21"/>
      <w:szCs w:val="21"/>
    </w:rPr>
  </w:style>
  <w:style w:type="character" w:styleId="41">
    <w:name w:val="footnote reference"/>
    <w:basedOn w:val="37"/>
    <w:semiHidden/>
    <w:unhideWhenUsed/>
    <w:qFormat/>
    <w:uiPriority w:val="0"/>
    <w:rPr>
      <w:vertAlign w:val="superscript"/>
    </w:rPr>
  </w:style>
  <w:style w:type="character" w:customStyle="1" w:styleId="42">
    <w:name w:val="标题 5 字符"/>
    <w:basedOn w:val="37"/>
    <w:link w:val="8"/>
    <w:semiHidden/>
    <w:qFormat/>
    <w:uiPriority w:val="9"/>
    <w:rPr>
      <w:rFonts w:ascii="Futura Bk" w:hAnsi="Futura Bk" w:cs="Arial"/>
      <w:color w:val="0090C8"/>
      <w:sz w:val="24"/>
      <w:szCs w:val="24"/>
    </w:rPr>
  </w:style>
  <w:style w:type="paragraph" w:customStyle="1" w:styleId="43">
    <w:name w:val="IN Feature"/>
    <w:next w:val="44"/>
    <w:qFormat/>
    <w:uiPriority w:val="0"/>
    <w:pPr>
      <w:keepNext/>
      <w:keepLines/>
      <w:numPr>
        <w:ilvl w:val="7"/>
        <w:numId w:val="2"/>
      </w:numPr>
      <w:tabs>
        <w:tab w:val="left" w:pos="360"/>
      </w:tabs>
      <w:spacing w:before="240" w:after="240"/>
      <w:ind w:left="0"/>
      <w:outlineLvl w:val="7"/>
    </w:pPr>
    <w:rPr>
      <w:rFonts w:ascii="Arial" w:hAnsi="Arial" w:eastAsia="黑体" w:cs="Arial"/>
      <w:b/>
      <w:bCs/>
      <w:kern w:val="2"/>
      <w:lang w:val="en-US" w:eastAsia="zh-CN" w:bidi="ar-SA"/>
    </w:rPr>
  </w:style>
  <w:style w:type="paragraph" w:customStyle="1" w:styleId="44">
    <w:name w:val="IN Step"/>
    <w:qFormat/>
    <w:uiPriority w:val="0"/>
    <w:pPr>
      <w:keepLines/>
      <w:numPr>
        <w:ilvl w:val="8"/>
        <w:numId w:val="1"/>
      </w:numPr>
      <w:spacing w:before="40" w:after="40"/>
      <w:outlineLvl w:val="6"/>
    </w:pPr>
    <w:rPr>
      <w:rFonts w:ascii="Arial" w:hAnsi="Arial" w:eastAsia="宋体" w:cs="Arial"/>
      <w:kern w:val="2"/>
      <w:sz w:val="21"/>
      <w:lang w:val="en-US" w:eastAsia="zh-CN" w:bidi="ar-SA"/>
    </w:rPr>
  </w:style>
  <w:style w:type="paragraph" w:customStyle="1" w:styleId="45">
    <w:name w:val="Figure Text"/>
    <w:link w:val="75"/>
    <w:qFormat/>
    <w:uiPriority w:val="2"/>
    <w:pPr>
      <w:widowControl w:val="0"/>
      <w:autoSpaceDE w:val="0"/>
      <w:autoSpaceDN w:val="0"/>
      <w:snapToGrid w:val="0"/>
    </w:pPr>
    <w:rPr>
      <w:rFonts w:ascii="Arial" w:hAnsi="Arial" w:eastAsia="楷体_GB2312" w:cs="Arial Narrow"/>
      <w:sz w:val="18"/>
      <w:lang w:val="en-US" w:eastAsia="zh-CN" w:bidi="ar-SA"/>
    </w:rPr>
  </w:style>
  <w:style w:type="paragraph" w:customStyle="1" w:styleId="46">
    <w:name w:val="Table Description"/>
    <w:link w:val="113"/>
    <w:qFormat/>
    <w:uiPriority w:val="0"/>
    <w:pPr>
      <w:keepNext/>
      <w:keepLines/>
      <w:numPr>
        <w:ilvl w:val="6"/>
        <w:numId w:val="1"/>
      </w:numPr>
      <w:spacing w:before="80" w:after="80"/>
    </w:pPr>
    <w:rPr>
      <w:rFonts w:ascii="Arial" w:hAnsi="Arial" w:eastAsia="黑体" w:cs="Arial Narrow"/>
      <w:sz w:val="21"/>
      <w:lang w:val="en-US" w:eastAsia="zh-CN" w:bidi="ar-SA"/>
    </w:rPr>
  </w:style>
  <w:style w:type="paragraph" w:customStyle="1" w:styleId="47">
    <w:name w:val="Table Heading"/>
    <w:link w:val="48"/>
    <w:qFormat/>
    <w:uiPriority w:val="0"/>
    <w:pPr>
      <w:keepNext/>
      <w:spacing w:before="80" w:after="80"/>
      <w:jc w:val="center"/>
    </w:pPr>
    <w:rPr>
      <w:rFonts w:ascii="Arial" w:hAnsi="Arial" w:eastAsia="黑体" w:cs="Arial Narrow"/>
      <w:bCs/>
      <w:sz w:val="18"/>
      <w:lang w:val="en-US" w:eastAsia="zh-CN" w:bidi="ar-SA"/>
    </w:rPr>
  </w:style>
  <w:style w:type="character" w:customStyle="1" w:styleId="48">
    <w:name w:val="Table Heading Char"/>
    <w:link w:val="47"/>
    <w:qFormat/>
    <w:uiPriority w:val="0"/>
    <w:rPr>
      <w:rFonts w:ascii="Arial" w:hAnsi="Arial" w:eastAsia="黑体" w:cs="Arial Narrow"/>
      <w:bCs/>
      <w:sz w:val="18"/>
    </w:rPr>
  </w:style>
  <w:style w:type="paragraph" w:customStyle="1" w:styleId="49">
    <w:name w:val="Table Text"/>
    <w:link w:val="50"/>
    <w:qFormat/>
    <w:uiPriority w:val="2"/>
    <w:pPr>
      <w:autoSpaceDE w:val="0"/>
      <w:autoSpaceDN w:val="0"/>
      <w:spacing w:before="80" w:after="80"/>
      <w:textAlignment w:val="bottom"/>
    </w:pPr>
    <w:rPr>
      <w:rFonts w:ascii="Arial" w:hAnsi="Arial" w:eastAsia="宋体" w:cs="Arial Narrow"/>
      <w:sz w:val="18"/>
      <w:szCs w:val="18"/>
      <w:lang w:val="en-US" w:eastAsia="zh-CN" w:bidi="ar-SA"/>
    </w:rPr>
  </w:style>
  <w:style w:type="character" w:customStyle="1" w:styleId="50">
    <w:name w:val="Table Text Char"/>
    <w:basedOn w:val="37"/>
    <w:link w:val="49"/>
    <w:qFormat/>
    <w:uiPriority w:val="0"/>
    <w:rPr>
      <w:rFonts w:ascii="Arial" w:hAnsi="Arial" w:cs="Arial Narrow"/>
      <w:sz w:val="18"/>
      <w:szCs w:val="18"/>
    </w:rPr>
  </w:style>
  <w:style w:type="paragraph" w:customStyle="1" w:styleId="51">
    <w:name w:val="Figure Description"/>
    <w:next w:val="1"/>
    <w:link w:val="125"/>
    <w:qFormat/>
    <w:uiPriority w:val="0"/>
    <w:pPr>
      <w:keepNext/>
      <w:keepLines/>
      <w:numPr>
        <w:ilvl w:val="5"/>
        <w:numId w:val="1"/>
      </w:numPr>
      <w:spacing w:before="80" w:after="80"/>
    </w:pPr>
    <w:rPr>
      <w:rFonts w:ascii="Arial" w:hAnsi="Arial" w:eastAsia="黑体" w:cs="Arial Narrow"/>
      <w:sz w:val="21"/>
      <w:lang w:val="en-US" w:eastAsia="zh-CN" w:bidi="ar-SA"/>
    </w:rPr>
  </w:style>
  <w:style w:type="paragraph" w:customStyle="1" w:styleId="52">
    <w:name w:val="TOC"/>
    <w:next w:val="1"/>
    <w:qFormat/>
    <w:uiPriority w:val="0"/>
    <w:pPr>
      <w:keepNext/>
      <w:snapToGrid w:val="0"/>
      <w:spacing w:before="480" w:after="360"/>
      <w:jc w:val="center"/>
    </w:pPr>
    <w:rPr>
      <w:rFonts w:ascii="Arial" w:hAnsi="Arial" w:eastAsia="黑体" w:cs="Arial"/>
      <w:bCs/>
      <w:color w:val="800000"/>
      <w:sz w:val="36"/>
      <w:szCs w:val="40"/>
      <w:lang w:val="en-US" w:eastAsia="zh-CN" w:bidi="ar-SA"/>
    </w:rPr>
  </w:style>
  <w:style w:type="paragraph" w:customStyle="1" w:styleId="53">
    <w:name w:val="Command"/>
    <w:qFormat/>
    <w:uiPriority w:val="0"/>
    <w:pPr>
      <w:keepNext/>
      <w:spacing w:before="80" w:after="80"/>
    </w:pPr>
    <w:rPr>
      <w:rFonts w:ascii="Arial" w:hAnsi="Arial" w:eastAsia="黑体" w:cs="Arial"/>
      <w:bCs/>
      <w:color w:val="800000"/>
      <w:sz w:val="21"/>
      <w:szCs w:val="22"/>
      <w:lang w:val="en-US" w:eastAsia="zh-CN" w:bidi="ar-SA"/>
    </w:rPr>
  </w:style>
  <w:style w:type="character" w:customStyle="1" w:styleId="54">
    <w:name w:val="Notes Heading Char Char"/>
    <w:basedOn w:val="37"/>
    <w:link w:val="55"/>
    <w:qFormat/>
    <w:uiPriority w:val="0"/>
    <w:rPr>
      <w:rFonts w:ascii="Arial" w:hAnsi="Arial" w:cs="Arial"/>
      <w:sz w:val="21"/>
      <w:lang w:eastAsia="en-US"/>
    </w:rPr>
  </w:style>
  <w:style w:type="paragraph" w:customStyle="1" w:styleId="55">
    <w:name w:val="Notes Heading"/>
    <w:next w:val="56"/>
    <w:link w:val="54"/>
    <w:qFormat/>
    <w:uiPriority w:val="0"/>
    <w:pPr>
      <w:keepNext/>
      <w:pBdr>
        <w:top w:val="single" w:color="auto" w:sz="8" w:space="1"/>
      </w:pBdr>
      <w:spacing w:before="40" w:after="40"/>
      <w:ind w:left="624"/>
    </w:pPr>
    <w:rPr>
      <w:rFonts w:ascii="Arial" w:hAnsi="Arial" w:eastAsia="宋体" w:cs="Arial"/>
      <w:sz w:val="21"/>
      <w:lang w:val="en-US" w:eastAsia="en-US" w:bidi="ar-SA"/>
    </w:rPr>
  </w:style>
  <w:style w:type="paragraph" w:customStyle="1" w:styleId="56">
    <w:name w:val="Notes Text"/>
    <w:link w:val="57"/>
    <w:qFormat/>
    <w:uiPriority w:val="0"/>
    <w:pPr>
      <w:keepNext/>
      <w:pBdr>
        <w:bottom w:val="single" w:color="auto" w:sz="8" w:space="1"/>
      </w:pBdr>
      <w:spacing w:before="40" w:after="40"/>
      <w:ind w:left="624"/>
    </w:pPr>
    <w:rPr>
      <w:rFonts w:ascii="Arial" w:hAnsi="Arial" w:eastAsia="楷体_GB2312" w:cs="Arial"/>
      <w:sz w:val="21"/>
      <w:lang w:val="en-US" w:eastAsia="en-US" w:bidi="ar-SA"/>
    </w:rPr>
  </w:style>
  <w:style w:type="character" w:customStyle="1" w:styleId="57">
    <w:name w:val="Notes Text Char Char"/>
    <w:basedOn w:val="37"/>
    <w:link w:val="56"/>
    <w:qFormat/>
    <w:uiPriority w:val="0"/>
    <w:rPr>
      <w:rFonts w:ascii="Arial" w:hAnsi="Arial" w:eastAsia="楷体_GB2312" w:cs="Arial"/>
      <w:sz w:val="21"/>
      <w:lang w:eastAsia="en-US"/>
    </w:rPr>
  </w:style>
  <w:style w:type="paragraph" w:customStyle="1" w:styleId="58">
    <w:name w:val="Terminal Display"/>
    <w:link w:val="124"/>
    <w:qFormat/>
    <w:uiPriority w:val="0"/>
    <w:pPr>
      <w:spacing w:before="40" w:after="40" w:line="240" w:lineRule="exact"/>
      <w:ind w:left="624"/>
    </w:pPr>
    <w:rPr>
      <w:rFonts w:ascii="Courier New" w:hAnsi="Courier New" w:eastAsia="宋体" w:cs="Courier New"/>
      <w:sz w:val="17"/>
      <w:szCs w:val="17"/>
      <w:lang w:val="en-US" w:eastAsia="zh-CN" w:bidi="ar-SA"/>
    </w:rPr>
  </w:style>
  <w:style w:type="paragraph" w:customStyle="1" w:styleId="59">
    <w:name w:val="Figure"/>
    <w:next w:val="1"/>
    <w:link w:val="60"/>
    <w:qFormat/>
    <w:uiPriority w:val="0"/>
    <w:pPr>
      <w:keepNext/>
      <w:spacing w:before="40" w:after="40"/>
      <w:ind w:left="624"/>
    </w:pPr>
    <w:rPr>
      <w:rFonts w:ascii="Arial" w:hAnsi="Arial" w:eastAsia="宋体" w:cs="Arial"/>
      <w:kern w:val="2"/>
      <w:sz w:val="21"/>
      <w:lang w:val="en-US" w:eastAsia="zh-CN" w:bidi="ar-SA"/>
    </w:rPr>
  </w:style>
  <w:style w:type="character" w:customStyle="1" w:styleId="60">
    <w:name w:val="Figure Char"/>
    <w:basedOn w:val="37"/>
    <w:link w:val="59"/>
    <w:qFormat/>
    <w:uiPriority w:val="0"/>
    <w:rPr>
      <w:rFonts w:ascii="Arial" w:hAnsi="Arial" w:cs="Arial"/>
      <w:kern w:val="2"/>
      <w:sz w:val="21"/>
    </w:rPr>
  </w:style>
  <w:style w:type="paragraph" w:customStyle="1" w:styleId="61">
    <w:name w:val="IN Voice"/>
    <w:semiHidden/>
    <w:qFormat/>
    <w:uiPriority w:val="0"/>
    <w:pPr>
      <w:spacing w:before="20" w:after="20"/>
    </w:pPr>
    <w:rPr>
      <w:rFonts w:ascii="Arial Narrow" w:hAnsi="Arial Narrow" w:eastAsia="宋体" w:cs="Arial"/>
      <w:bCs/>
      <w:sz w:val="15"/>
      <w:szCs w:val="15"/>
      <w:lang w:val="en-US" w:eastAsia="zh-CN" w:bidi="ar-SA"/>
    </w:rPr>
  </w:style>
  <w:style w:type="paragraph" w:customStyle="1" w:styleId="62">
    <w:name w:val="Terminal Display in Table"/>
    <w:qFormat/>
    <w:uiPriority w:val="0"/>
    <w:rPr>
      <w:rFonts w:ascii="Courier New" w:hAnsi="Courier New" w:eastAsia="宋体" w:cs="Courier New"/>
      <w:sz w:val="17"/>
      <w:szCs w:val="17"/>
      <w:lang w:val="en-US" w:eastAsia="zh-CN" w:bidi="ar-SA"/>
    </w:rPr>
  </w:style>
  <w:style w:type="character" w:customStyle="1" w:styleId="63">
    <w:name w:val="Terminal Display shading"/>
    <w:basedOn w:val="37"/>
    <w:qFormat/>
    <w:uiPriority w:val="0"/>
    <w:rPr>
      <w:rFonts w:ascii="Courier New" w:hAnsi="Courier New"/>
      <w:sz w:val="17"/>
      <w:shd w:val="clear" w:color="auto" w:fill="D9D9D9"/>
    </w:rPr>
  </w:style>
  <w:style w:type="table" w:customStyle="1" w:styleId="64">
    <w:name w:val="Table"/>
    <w:basedOn w:val="34"/>
    <w:qFormat/>
    <w:uiPriority w:val="0"/>
    <w:pPr>
      <w:jc w:val="both"/>
    </w:pPr>
    <w:tblPr>
      <w:tblBorders>
        <w:top w:val="single" w:color="auto" w:sz="4" w:space="0"/>
        <w:bottom w:val="single" w:color="auto" w:sz="4" w:space="0"/>
        <w:insideH w:val="single" w:color="808080" w:sz="4" w:space="0"/>
        <w:insideV w:val="single" w:color="808080" w:sz="4" w:space="0"/>
      </w:tblBorders>
    </w:tblPr>
    <w:tcPr>
      <w:vAlign w:val="center"/>
    </w:tcPr>
    <w:tblStylePr w:type="firstRow">
      <w:tcPr>
        <w:tcBorders>
          <w:top w:val="single" w:color="auto" w:sz="4" w:space="0"/>
          <w:left w:val="nil"/>
          <w:bottom w:val="single" w:color="808080" w:sz="4" w:space="0"/>
          <w:right w:val="nil"/>
          <w:insideH w:val="nil"/>
          <w:insideV w:val="single" w:sz="4" w:space="0"/>
          <w:tl2br w:val="nil"/>
          <w:tr2bl w:val="nil"/>
        </w:tcBorders>
        <w:shd w:val="clear" w:color="auto" w:fill="D9D9D9"/>
      </w:tcPr>
    </w:tblStylePr>
  </w:style>
  <w:style w:type="paragraph" w:customStyle="1" w:styleId="65">
    <w:name w:val="Item Step"/>
    <w:basedOn w:val="1"/>
    <w:link w:val="121"/>
    <w:qFormat/>
    <w:uiPriority w:val="0"/>
    <w:pPr>
      <w:ind w:left="0"/>
      <w:jc w:val="left"/>
      <w:outlineLvl w:val="4"/>
    </w:pPr>
    <w:rPr>
      <w:rFonts w:cs="Times New Roman"/>
      <w:kern w:val="0"/>
      <w:szCs w:val="24"/>
      <w:lang w:eastAsia="en-US"/>
    </w:rPr>
  </w:style>
  <w:style w:type="paragraph" w:customStyle="1" w:styleId="66">
    <w:name w:val="Item Step_2"/>
    <w:qFormat/>
    <w:uiPriority w:val="0"/>
    <w:pPr>
      <w:numPr>
        <w:ilvl w:val="7"/>
        <w:numId w:val="1"/>
      </w:numPr>
      <w:spacing w:before="40" w:after="40"/>
      <w:outlineLvl w:val="5"/>
    </w:pPr>
    <w:rPr>
      <w:rFonts w:ascii="Arial" w:hAnsi="Arial" w:eastAsia="宋体" w:cs="Times New Roman"/>
      <w:sz w:val="21"/>
      <w:lang w:val="en-US" w:eastAsia="en-US" w:bidi="ar-SA"/>
    </w:rPr>
  </w:style>
  <w:style w:type="paragraph" w:customStyle="1" w:styleId="67">
    <w:name w:val="Item List in Table_2"/>
    <w:basedOn w:val="1"/>
    <w:qFormat/>
    <w:uiPriority w:val="0"/>
    <w:pPr>
      <w:numPr>
        <w:ilvl w:val="4"/>
        <w:numId w:val="3"/>
      </w:numPr>
      <w:spacing w:before="80" w:after="80"/>
      <w:jc w:val="left"/>
    </w:pPr>
    <w:rPr>
      <w:sz w:val="18"/>
      <w:szCs w:val="18"/>
      <w:lang w:eastAsia="en-US"/>
    </w:rPr>
  </w:style>
  <w:style w:type="paragraph" w:customStyle="1" w:styleId="68">
    <w:name w:val="Item Step in Table"/>
    <w:qFormat/>
    <w:uiPriority w:val="0"/>
    <w:pPr>
      <w:numPr>
        <w:ilvl w:val="0"/>
        <w:numId w:val="4"/>
      </w:numPr>
      <w:spacing w:before="80" w:after="80"/>
    </w:pPr>
    <w:rPr>
      <w:rFonts w:ascii="Arial" w:hAnsi="Arial" w:eastAsia="宋体" w:cs="Arial"/>
      <w:sz w:val="18"/>
      <w:szCs w:val="18"/>
      <w:lang w:val="en-US" w:eastAsia="zh-CN" w:bidi="ar-SA"/>
    </w:rPr>
  </w:style>
  <w:style w:type="paragraph" w:customStyle="1" w:styleId="69">
    <w:name w:val="Item Step in Table_2"/>
    <w:qFormat/>
    <w:uiPriority w:val="2"/>
    <w:pPr>
      <w:numPr>
        <w:ilvl w:val="1"/>
        <w:numId w:val="4"/>
      </w:numPr>
      <w:spacing w:before="80" w:after="80"/>
      <w:ind w:left="681" w:hanging="284"/>
    </w:pPr>
    <w:rPr>
      <w:rFonts w:ascii="Arial" w:hAnsi="Arial" w:eastAsia="宋体" w:cs="Arial"/>
      <w:sz w:val="18"/>
      <w:szCs w:val="18"/>
      <w:lang w:val="en-US" w:eastAsia="zh-CN" w:bidi="ar-SA"/>
    </w:rPr>
  </w:style>
  <w:style w:type="paragraph" w:customStyle="1" w:styleId="70">
    <w:name w:val="Item List"/>
    <w:basedOn w:val="1"/>
    <w:link w:val="71"/>
    <w:qFormat/>
    <w:uiPriority w:val="0"/>
    <w:pPr>
      <w:numPr>
        <w:ilvl w:val="0"/>
        <w:numId w:val="3"/>
      </w:numPr>
      <w:jc w:val="left"/>
    </w:pPr>
    <w:rPr>
      <w:lang w:eastAsia="en-US"/>
    </w:rPr>
  </w:style>
  <w:style w:type="character" w:customStyle="1" w:styleId="71">
    <w:name w:val="Item List Char Char"/>
    <w:basedOn w:val="37"/>
    <w:link w:val="70"/>
    <w:qFormat/>
    <w:uiPriority w:val="0"/>
    <w:rPr>
      <w:rFonts w:ascii="Arial" w:hAnsi="Arial" w:cs="Arial"/>
      <w:kern w:val="2"/>
      <w:sz w:val="21"/>
      <w:lang w:eastAsia="en-US"/>
    </w:rPr>
  </w:style>
  <w:style w:type="paragraph" w:customStyle="1" w:styleId="72">
    <w:name w:val="Item List_2"/>
    <w:basedOn w:val="70"/>
    <w:qFormat/>
    <w:uiPriority w:val="0"/>
    <w:pPr>
      <w:numPr>
        <w:ilvl w:val="1"/>
      </w:numPr>
    </w:pPr>
  </w:style>
  <w:style w:type="paragraph" w:customStyle="1" w:styleId="73">
    <w:name w:val="Item Indent_1"/>
    <w:basedOn w:val="1"/>
    <w:qFormat/>
    <w:uiPriority w:val="0"/>
    <w:pPr>
      <w:ind w:left="1134"/>
      <w:jc w:val="left"/>
    </w:pPr>
    <w:rPr>
      <w:color w:val="000000"/>
      <w:kern w:val="0"/>
      <w:lang w:eastAsia="en-US"/>
    </w:rPr>
  </w:style>
  <w:style w:type="paragraph" w:customStyle="1" w:styleId="74">
    <w:name w:val="Item Indent_2"/>
    <w:basedOn w:val="1"/>
    <w:qFormat/>
    <w:uiPriority w:val="0"/>
    <w:pPr>
      <w:ind w:left="1418"/>
      <w:jc w:val="left"/>
    </w:pPr>
    <w:rPr>
      <w:color w:val="000000"/>
      <w:kern w:val="0"/>
      <w:lang w:eastAsia="en-US"/>
    </w:rPr>
  </w:style>
  <w:style w:type="character" w:customStyle="1" w:styleId="75">
    <w:name w:val="Figure Text Char"/>
    <w:basedOn w:val="37"/>
    <w:link w:val="45"/>
    <w:qFormat/>
    <w:uiPriority w:val="2"/>
    <w:rPr>
      <w:rFonts w:ascii="Arial" w:hAnsi="Arial" w:eastAsia="楷体_GB2312" w:cs="Arial Narrow"/>
      <w:sz w:val="18"/>
    </w:rPr>
  </w:style>
  <w:style w:type="paragraph" w:customStyle="1" w:styleId="76">
    <w:name w:val="Item List_3"/>
    <w:basedOn w:val="72"/>
    <w:qFormat/>
    <w:uiPriority w:val="0"/>
    <w:pPr>
      <w:numPr>
        <w:ilvl w:val="2"/>
      </w:numPr>
    </w:pPr>
  </w:style>
  <w:style w:type="paragraph" w:customStyle="1" w:styleId="77">
    <w:name w:val="Item Indent_3"/>
    <w:basedOn w:val="1"/>
    <w:semiHidden/>
    <w:qFormat/>
    <w:uiPriority w:val="0"/>
    <w:pPr>
      <w:spacing w:before="80"/>
      <w:ind w:left="1956"/>
      <w:jc w:val="left"/>
    </w:pPr>
    <w:rPr>
      <w:color w:val="000000"/>
      <w:kern w:val="0"/>
      <w:lang w:eastAsia="en-US"/>
    </w:rPr>
  </w:style>
  <w:style w:type="paragraph" w:customStyle="1" w:styleId="78">
    <w:name w:val="Item List in Table"/>
    <w:basedOn w:val="1"/>
    <w:link w:val="79"/>
    <w:qFormat/>
    <w:uiPriority w:val="0"/>
    <w:pPr>
      <w:numPr>
        <w:ilvl w:val="3"/>
        <w:numId w:val="3"/>
      </w:numPr>
      <w:spacing w:before="80" w:after="80"/>
      <w:jc w:val="left"/>
    </w:pPr>
    <w:rPr>
      <w:sz w:val="18"/>
      <w:szCs w:val="18"/>
      <w:lang w:eastAsia="en-US"/>
    </w:rPr>
  </w:style>
  <w:style w:type="character" w:customStyle="1" w:styleId="79">
    <w:name w:val="Item List in Table Char Char"/>
    <w:basedOn w:val="37"/>
    <w:link w:val="78"/>
    <w:qFormat/>
    <w:uiPriority w:val="0"/>
    <w:rPr>
      <w:rFonts w:ascii="Arial" w:hAnsi="Arial" w:cs="Arial"/>
      <w:kern w:val="2"/>
      <w:sz w:val="18"/>
      <w:szCs w:val="18"/>
      <w:lang w:eastAsia="en-US"/>
    </w:rPr>
  </w:style>
  <w:style w:type="paragraph" w:customStyle="1" w:styleId="80">
    <w:name w:val="Notes Text List"/>
    <w:basedOn w:val="78"/>
    <w:link w:val="81"/>
    <w:qFormat/>
    <w:uiPriority w:val="0"/>
    <w:pPr>
      <w:keepNext/>
      <w:pBdr>
        <w:bottom w:val="single" w:color="auto" w:sz="8" w:space="1"/>
      </w:pBdr>
      <w:spacing w:before="40" w:after="40"/>
      <w:ind w:left="1021"/>
    </w:pPr>
    <w:rPr>
      <w:rFonts w:eastAsia="楷体_GB2312"/>
      <w:sz w:val="21"/>
      <w:szCs w:val="20"/>
    </w:rPr>
  </w:style>
  <w:style w:type="character" w:customStyle="1" w:styleId="81">
    <w:name w:val="Notes Text List Char Char"/>
    <w:basedOn w:val="79"/>
    <w:link w:val="80"/>
    <w:qFormat/>
    <w:uiPriority w:val="0"/>
    <w:rPr>
      <w:rFonts w:ascii="Arial" w:hAnsi="Arial" w:eastAsia="楷体_GB2312" w:cs="Arial"/>
      <w:kern w:val="2"/>
      <w:sz w:val="21"/>
      <w:szCs w:val="18"/>
      <w:lang w:eastAsia="en-US"/>
    </w:rPr>
  </w:style>
  <w:style w:type="table" w:customStyle="1" w:styleId="82">
    <w:name w:val="Figure Table"/>
    <w:basedOn w:val="34"/>
    <w:qFormat/>
    <w:uiPriority w:val="0"/>
    <w:pPr>
      <w:spacing w:before="40" w:line="240" w:lineRule="exact"/>
      <w:jc w:val="both"/>
    </w:pPr>
    <w:rPr>
      <w:rFonts w:ascii="Arial" w:hAnsi="Arial" w:eastAsia="楷体"/>
      <w:sz w:val="18"/>
    </w:rPr>
    <w:tblPr>
      <w:tblBorders>
        <w:top w:val="single" w:color="auto" w:sz="4" w:space="0"/>
        <w:bottom w:val="single" w:color="auto" w:sz="4" w:space="0"/>
        <w:insideH w:val="single" w:color="808080" w:sz="4" w:space="0"/>
        <w:insideV w:val="single" w:color="808080" w:sz="4" w:space="0"/>
      </w:tblBorders>
    </w:tblPr>
    <w:tcPr>
      <w:vAlign w:val="center"/>
    </w:tcPr>
  </w:style>
  <w:style w:type="paragraph" w:customStyle="1" w:styleId="83">
    <w:name w:val="Item step_3"/>
    <w:basedOn w:val="1"/>
    <w:semiHidden/>
    <w:qFormat/>
    <w:uiPriority w:val="0"/>
    <w:pPr>
      <w:tabs>
        <w:tab w:val="left" w:pos="1955"/>
      </w:tabs>
      <w:spacing w:before="80" w:line="240" w:lineRule="exact"/>
      <w:ind w:left="1956" w:hanging="312"/>
      <w:jc w:val="left"/>
      <w:outlineLvl w:val="8"/>
    </w:pPr>
    <w:rPr>
      <w:rFonts w:cs="Times New Roman"/>
      <w:color w:val="000000"/>
      <w:kern w:val="0"/>
      <w:szCs w:val="16"/>
      <w:lang w:eastAsia="en-US"/>
    </w:rPr>
  </w:style>
  <w:style w:type="paragraph" w:customStyle="1" w:styleId="84">
    <w:name w:val="Notes Text in Table"/>
    <w:qFormat/>
    <w:uiPriority w:val="0"/>
    <w:pPr>
      <w:keepLines/>
      <w:spacing w:before="80" w:after="80"/>
    </w:pPr>
    <w:rPr>
      <w:rFonts w:ascii="Arial" w:hAnsi="Arial" w:eastAsia="楷体_GB2312" w:cs="Arial"/>
      <w:sz w:val="18"/>
      <w:szCs w:val="18"/>
      <w:lang w:val="en-US" w:eastAsia="zh-CN" w:bidi="ar-SA"/>
    </w:rPr>
  </w:style>
  <w:style w:type="paragraph" w:customStyle="1" w:styleId="85">
    <w:name w:val="Notes Heading in Table"/>
    <w:next w:val="84"/>
    <w:qFormat/>
    <w:uiPriority w:val="0"/>
    <w:pPr>
      <w:keepNext/>
      <w:spacing w:before="80" w:after="80"/>
    </w:pPr>
    <w:rPr>
      <w:rFonts w:ascii="Arial" w:hAnsi="Arial" w:eastAsia="宋体" w:cs="Arial"/>
      <w:sz w:val="18"/>
      <w:szCs w:val="18"/>
      <w:lang w:val="en-US" w:eastAsia="zh-CN" w:bidi="ar-SA"/>
    </w:rPr>
  </w:style>
  <w:style w:type="paragraph" w:customStyle="1" w:styleId="86">
    <w:name w:val="图样式"/>
    <w:basedOn w:val="1"/>
    <w:semiHidden/>
    <w:qFormat/>
    <w:uiPriority w:val="0"/>
    <w:pPr>
      <w:keepNext/>
      <w:autoSpaceDE w:val="0"/>
      <w:autoSpaceDN w:val="0"/>
      <w:adjustRightInd w:val="0"/>
      <w:spacing w:line="360" w:lineRule="auto"/>
      <w:ind w:left="0"/>
      <w:jc w:val="center"/>
    </w:pPr>
    <w:rPr>
      <w:rFonts w:ascii="Times New Roman" w:hAnsi="Times New Roman" w:cs="Times New Roman"/>
    </w:rPr>
  </w:style>
  <w:style w:type="paragraph" w:customStyle="1" w:styleId="87">
    <w:name w:val="Notes Text List in Table"/>
    <w:qFormat/>
    <w:uiPriority w:val="0"/>
    <w:pPr>
      <w:numPr>
        <w:ilvl w:val="5"/>
        <w:numId w:val="3"/>
      </w:numPr>
      <w:spacing w:before="80" w:after="80"/>
    </w:pPr>
    <w:rPr>
      <w:rFonts w:ascii="Arial" w:hAnsi="Arial" w:eastAsia="楷体_GB2312" w:cs="楷体_GB2312"/>
      <w:sz w:val="18"/>
      <w:szCs w:val="18"/>
      <w:lang w:val="en-US" w:eastAsia="zh-CN" w:bidi="ar-SA"/>
    </w:rPr>
  </w:style>
  <w:style w:type="paragraph" w:customStyle="1" w:styleId="88">
    <w:name w:val="索引 Text"/>
    <w:link w:val="89"/>
    <w:semiHidden/>
    <w:qFormat/>
    <w:uiPriority w:val="3"/>
    <w:pPr>
      <w:spacing w:before="40" w:after="40"/>
      <w:ind w:left="624"/>
    </w:pPr>
    <w:rPr>
      <w:rFonts w:ascii="Arial" w:hAnsi="Arial" w:eastAsia="宋体" w:cs="Arial"/>
      <w:kern w:val="2"/>
      <w:sz w:val="21"/>
      <w:lang w:val="en-US" w:eastAsia="zh-CN" w:bidi="ar-SA"/>
    </w:rPr>
  </w:style>
  <w:style w:type="character" w:customStyle="1" w:styleId="89">
    <w:name w:val="索引 Text Char Char"/>
    <w:basedOn w:val="37"/>
    <w:link w:val="88"/>
    <w:semiHidden/>
    <w:qFormat/>
    <w:uiPriority w:val="3"/>
    <w:rPr>
      <w:rFonts w:ascii="Arial" w:hAnsi="Arial" w:cs="Arial"/>
      <w:kern w:val="2"/>
      <w:sz w:val="21"/>
    </w:rPr>
  </w:style>
  <w:style w:type="paragraph" w:customStyle="1" w:styleId="90">
    <w:name w:val="索引 Heading"/>
    <w:next w:val="88"/>
    <w:link w:val="91"/>
    <w:semiHidden/>
    <w:qFormat/>
    <w:uiPriority w:val="3"/>
    <w:pPr>
      <w:spacing w:before="120" w:after="120"/>
      <w:ind w:left="624"/>
    </w:pPr>
    <w:rPr>
      <w:rFonts w:ascii="Arial" w:hAnsi="Arial" w:eastAsia="宋体" w:cs="Arial"/>
      <w:b/>
      <w:kern w:val="2"/>
      <w:sz w:val="21"/>
      <w:lang w:val="en-US" w:eastAsia="zh-CN" w:bidi="ar-SA"/>
    </w:rPr>
  </w:style>
  <w:style w:type="character" w:customStyle="1" w:styleId="91">
    <w:name w:val="索引 Heading Char"/>
    <w:basedOn w:val="37"/>
    <w:link w:val="90"/>
    <w:semiHidden/>
    <w:qFormat/>
    <w:uiPriority w:val="3"/>
    <w:rPr>
      <w:rFonts w:ascii="Arial" w:hAnsi="Arial" w:cs="Arial"/>
      <w:b/>
      <w:kern w:val="2"/>
      <w:sz w:val="21"/>
    </w:rPr>
  </w:style>
  <w:style w:type="paragraph" w:customStyle="1" w:styleId="92">
    <w:name w:val="索引链接"/>
    <w:next w:val="1"/>
    <w:link w:val="93"/>
    <w:semiHidden/>
    <w:qFormat/>
    <w:uiPriority w:val="3"/>
    <w:pPr>
      <w:spacing w:before="120" w:after="60"/>
      <w:ind w:left="624"/>
    </w:pPr>
    <w:rPr>
      <w:rFonts w:ascii="Arial" w:hAnsi="Arial" w:eastAsia="黑体" w:cs="Arial"/>
      <w:bCs/>
      <w:color w:val="0000FF"/>
      <w:sz w:val="36"/>
      <w:szCs w:val="36"/>
      <w:lang w:val="en-US" w:eastAsia="zh-CN" w:bidi="ar-SA"/>
    </w:rPr>
  </w:style>
  <w:style w:type="character" w:customStyle="1" w:styleId="93">
    <w:name w:val="索引链接 Char"/>
    <w:basedOn w:val="37"/>
    <w:link w:val="92"/>
    <w:semiHidden/>
    <w:qFormat/>
    <w:uiPriority w:val="3"/>
    <w:rPr>
      <w:rFonts w:ascii="Arial" w:hAnsi="Arial" w:eastAsia="黑体" w:cs="Arial"/>
      <w:bCs/>
      <w:color w:val="0000FF"/>
      <w:sz w:val="36"/>
      <w:szCs w:val="36"/>
    </w:rPr>
  </w:style>
  <w:style w:type="paragraph" w:customStyle="1" w:styleId="94">
    <w:name w:val="Terminal Display Indent_1"/>
    <w:basedOn w:val="58"/>
    <w:qFormat/>
    <w:uiPriority w:val="0"/>
    <w:pPr>
      <w:ind w:left="1134"/>
    </w:pPr>
  </w:style>
  <w:style w:type="paragraph" w:customStyle="1" w:styleId="95">
    <w:name w:val="Terminal Display Indent_2"/>
    <w:basedOn w:val="58"/>
    <w:qFormat/>
    <w:uiPriority w:val="0"/>
    <w:pPr>
      <w:ind w:left="1418"/>
    </w:pPr>
  </w:style>
  <w:style w:type="table" w:customStyle="1" w:styleId="96">
    <w:name w:val="Table no head"/>
    <w:basedOn w:val="34"/>
    <w:qFormat/>
    <w:uiPriority w:val="99"/>
    <w:pPr>
      <w:spacing w:before="80" w:after="80"/>
      <w:jc w:val="both"/>
    </w:pPr>
    <w:rPr>
      <w:rFonts w:ascii="Arial" w:hAnsi="Arial"/>
    </w:rPr>
    <w:tblPr>
      <w:tblBorders>
        <w:top w:val="single" w:color="auto" w:sz="4" w:space="0"/>
        <w:bottom w:val="single" w:color="auto" w:sz="4" w:space="0"/>
        <w:insideH w:val="single" w:color="808080" w:sz="4" w:space="0"/>
        <w:insideV w:val="single" w:color="808080" w:sz="4" w:space="0"/>
      </w:tblBorders>
    </w:tblPr>
    <w:tcPr>
      <w:vAlign w:val="center"/>
    </w:tcPr>
  </w:style>
  <w:style w:type="character" w:customStyle="1" w:styleId="97">
    <w:name w:val="Bold Text"/>
    <w:basedOn w:val="37"/>
    <w:qFormat/>
    <w:uiPriority w:val="0"/>
    <w:rPr>
      <w:rFonts w:ascii="Arial" w:hAnsi="Arial"/>
      <w:b/>
    </w:rPr>
  </w:style>
  <w:style w:type="character" w:customStyle="1" w:styleId="98">
    <w:name w:val="Italic Text"/>
    <w:basedOn w:val="37"/>
    <w:qFormat/>
    <w:uiPriority w:val="0"/>
    <w:rPr>
      <w:rFonts w:ascii="Arial" w:hAnsi="Arial"/>
      <w:i/>
    </w:rPr>
  </w:style>
  <w:style w:type="character" w:customStyle="1" w:styleId="99">
    <w:name w:val="BoldItalic Text"/>
    <w:basedOn w:val="37"/>
    <w:qFormat/>
    <w:uiPriority w:val="0"/>
    <w:rPr>
      <w:rFonts w:ascii="Arial" w:hAnsi="Arial"/>
      <w:b/>
      <w:i/>
    </w:rPr>
  </w:style>
  <w:style w:type="character" w:customStyle="1" w:styleId="100">
    <w:name w:val="Reference-R0G144B200"/>
    <w:basedOn w:val="37"/>
    <w:qFormat/>
    <w:uiPriority w:val="0"/>
    <w:rPr>
      <w:color w:val="0000FF"/>
      <w:u w:val="single"/>
    </w:rPr>
  </w:style>
  <w:style w:type="character" w:customStyle="1" w:styleId="101">
    <w:name w:val="Superscript"/>
    <w:basedOn w:val="37"/>
    <w:qFormat/>
    <w:uiPriority w:val="0"/>
    <w:rPr>
      <w:vertAlign w:val="superscript"/>
    </w:rPr>
  </w:style>
  <w:style w:type="character" w:customStyle="1" w:styleId="102">
    <w:name w:val="SubScript"/>
    <w:basedOn w:val="37"/>
    <w:qFormat/>
    <w:uiPriority w:val="0"/>
    <w:rPr>
      <w:vertAlign w:val="subscript"/>
    </w:rPr>
  </w:style>
  <w:style w:type="table" w:customStyle="1" w:styleId="103">
    <w:name w:val="左文右图Table-SMB专用样式"/>
    <w:basedOn w:val="34"/>
    <w:qFormat/>
    <w:uiPriority w:val="99"/>
    <w:tblPr>
      <w:tblBorders>
        <w:top w:val="single" w:color="auto" w:sz="18" w:space="0"/>
        <w:bottom w:val="single" w:color="auto" w:sz="18" w:space="0"/>
        <w:insideH w:val="single" w:color="A5A5A5" w:themeColor="background1" w:themeShade="A6" w:sz="12" w:space="0"/>
      </w:tblBorders>
    </w:tblPr>
  </w:style>
  <w:style w:type="paragraph" w:customStyle="1" w:styleId="104">
    <w:name w:val="索引 Table Heading"/>
    <w:link w:val="105"/>
    <w:semiHidden/>
    <w:qFormat/>
    <w:uiPriority w:val="3"/>
    <w:pPr>
      <w:widowControl w:val="0"/>
    </w:pPr>
    <w:rPr>
      <w:rFonts w:ascii="Arial" w:hAnsi="Arial" w:eastAsia="宋体" w:cs="Arial"/>
      <w:b/>
      <w:kern w:val="2"/>
      <w:sz w:val="21"/>
      <w:lang w:val="en-US" w:eastAsia="zh-CN" w:bidi="ar-SA"/>
    </w:rPr>
  </w:style>
  <w:style w:type="character" w:customStyle="1" w:styleId="105">
    <w:name w:val="索引 Table Heading Char"/>
    <w:basedOn w:val="37"/>
    <w:link w:val="104"/>
    <w:semiHidden/>
    <w:qFormat/>
    <w:uiPriority w:val="3"/>
    <w:rPr>
      <w:rFonts w:ascii="Arial" w:hAnsi="Arial" w:cs="Arial"/>
      <w:b/>
      <w:kern w:val="2"/>
      <w:sz w:val="21"/>
    </w:rPr>
  </w:style>
  <w:style w:type="character" w:customStyle="1" w:styleId="106">
    <w:name w:val="command parameter"/>
    <w:qFormat/>
    <w:uiPriority w:val="0"/>
    <w:rPr>
      <w:rFonts w:ascii="Courier New" w:hAnsi="Courier New" w:eastAsia="宋体"/>
      <w:i/>
      <w:color w:val="auto"/>
      <w:szCs w:val="21"/>
    </w:rPr>
  </w:style>
  <w:style w:type="character" w:customStyle="1" w:styleId="107">
    <w:name w:val="command keywords"/>
    <w:qFormat/>
    <w:uiPriority w:val="0"/>
    <w:rPr>
      <w:rFonts w:ascii="Courier New" w:hAnsi="Courier New" w:eastAsia="宋体"/>
      <w:b/>
      <w:color w:val="auto"/>
      <w:szCs w:val="21"/>
    </w:rPr>
  </w:style>
  <w:style w:type="paragraph" w:customStyle="1" w:styleId="108">
    <w:name w:val="封面文档标题"/>
    <w:basedOn w:val="1"/>
    <w:qFormat/>
    <w:uiPriority w:val="0"/>
    <w:pPr>
      <w:spacing w:before="1400"/>
      <w:ind w:left="0"/>
      <w:jc w:val="left"/>
    </w:pPr>
    <w:rPr>
      <w:rFonts w:eastAsia="黑体"/>
      <w:kern w:val="0"/>
      <w:sz w:val="48"/>
      <w:szCs w:val="48"/>
    </w:rPr>
  </w:style>
  <w:style w:type="paragraph" w:customStyle="1" w:styleId="109">
    <w:name w:val="Version"/>
    <w:basedOn w:val="1"/>
    <w:link w:val="110"/>
    <w:qFormat/>
    <w:uiPriority w:val="0"/>
    <w:pPr>
      <w:widowControl w:val="0"/>
      <w:ind w:left="0"/>
      <w:jc w:val="left"/>
    </w:pPr>
    <w:rPr>
      <w:rFonts w:eastAsia="黑体"/>
      <w:kern w:val="0"/>
      <w:sz w:val="18"/>
      <w:szCs w:val="16"/>
      <w:lang w:eastAsia="en-US"/>
    </w:rPr>
  </w:style>
  <w:style w:type="character" w:customStyle="1" w:styleId="110">
    <w:name w:val="Version Char Char"/>
    <w:basedOn w:val="37"/>
    <w:link w:val="109"/>
    <w:qFormat/>
    <w:uiPriority w:val="0"/>
    <w:rPr>
      <w:rFonts w:ascii="Arial" w:hAnsi="Arial" w:eastAsia="黑体" w:cs="Arial"/>
      <w:sz w:val="18"/>
      <w:szCs w:val="16"/>
      <w:lang w:eastAsia="en-US"/>
    </w:rPr>
  </w:style>
  <w:style w:type="paragraph" w:customStyle="1" w:styleId="111">
    <w:name w:val="修订记录"/>
    <w:basedOn w:val="1"/>
    <w:qFormat/>
    <w:uiPriority w:val="0"/>
    <w:pPr>
      <w:keepNext/>
      <w:autoSpaceDE w:val="0"/>
      <w:autoSpaceDN w:val="0"/>
      <w:adjustRightInd w:val="0"/>
      <w:spacing w:before="300" w:after="150"/>
      <w:ind w:left="0"/>
      <w:jc w:val="center"/>
    </w:pPr>
    <w:rPr>
      <w:rFonts w:eastAsia="黑体" w:cs="Times New Roman"/>
      <w:kern w:val="0"/>
      <w:sz w:val="36"/>
      <w:szCs w:val="32"/>
    </w:rPr>
  </w:style>
  <w:style w:type="paragraph" w:customStyle="1" w:styleId="112">
    <w:name w:val="Item Step in Table-2"/>
    <w:qFormat/>
    <w:uiPriority w:val="0"/>
    <w:pPr>
      <w:tabs>
        <w:tab w:val="left" w:pos="624"/>
      </w:tabs>
      <w:spacing w:before="40" w:after="40"/>
      <w:ind w:left="624" w:hanging="227"/>
    </w:pPr>
    <w:rPr>
      <w:rFonts w:ascii="Arial" w:hAnsi="Arial" w:eastAsia="宋体" w:cs="Arial"/>
      <w:sz w:val="18"/>
      <w:szCs w:val="18"/>
      <w:lang w:val="en-US" w:eastAsia="zh-CN" w:bidi="ar-SA"/>
    </w:rPr>
  </w:style>
  <w:style w:type="character" w:customStyle="1" w:styleId="113">
    <w:name w:val="Table Description Char"/>
    <w:basedOn w:val="37"/>
    <w:link w:val="46"/>
    <w:qFormat/>
    <w:uiPriority w:val="0"/>
    <w:rPr>
      <w:rFonts w:ascii="Arial" w:hAnsi="Arial" w:eastAsia="黑体" w:cs="Arial Narrow"/>
      <w:sz w:val="21"/>
    </w:rPr>
  </w:style>
  <w:style w:type="character" w:customStyle="1" w:styleId="114">
    <w:name w:val="批注文字 字符"/>
    <w:basedOn w:val="37"/>
    <w:link w:val="16"/>
    <w:qFormat/>
    <w:uiPriority w:val="99"/>
    <w:rPr>
      <w:rFonts w:ascii="Arial" w:hAnsi="Arial" w:cs="Arial"/>
      <w:kern w:val="2"/>
      <w:sz w:val="21"/>
    </w:rPr>
  </w:style>
  <w:style w:type="character" w:customStyle="1" w:styleId="115">
    <w:name w:val="编写建议 Char"/>
    <w:basedOn w:val="37"/>
    <w:link w:val="116"/>
    <w:qFormat/>
    <w:uiPriority w:val="0"/>
    <w:rPr>
      <w:i/>
      <w:iCs/>
      <w:color w:val="0000FF"/>
      <w:sz w:val="21"/>
      <w:szCs w:val="21"/>
    </w:rPr>
  </w:style>
  <w:style w:type="paragraph" w:customStyle="1" w:styleId="116">
    <w:name w:val="编写建议"/>
    <w:basedOn w:val="1"/>
    <w:link w:val="115"/>
    <w:qFormat/>
    <w:uiPriority w:val="0"/>
    <w:pPr>
      <w:snapToGrid w:val="0"/>
      <w:spacing w:before="0" w:after="0" w:line="300" w:lineRule="auto"/>
      <w:jc w:val="left"/>
    </w:pPr>
    <w:rPr>
      <w:rFonts w:ascii="Times New Roman" w:hAnsi="Times New Roman" w:cs="Times New Roman"/>
      <w:i/>
      <w:iCs/>
      <w:color w:val="0000FF"/>
      <w:kern w:val="0"/>
      <w:szCs w:val="21"/>
    </w:rPr>
  </w:style>
  <w:style w:type="paragraph" w:customStyle="1" w:styleId="117">
    <w:name w:val="Copyright Declaration2"/>
    <w:basedOn w:val="1"/>
    <w:qFormat/>
    <w:uiPriority w:val="0"/>
    <w:pPr>
      <w:pBdr>
        <w:top w:val="single" w:color="auto" w:sz="4" w:space="1"/>
      </w:pBdr>
      <w:snapToGrid w:val="0"/>
      <w:ind w:left="0"/>
      <w:jc w:val="left"/>
    </w:pPr>
    <w:rPr>
      <w:rFonts w:eastAsia="黑体"/>
      <w:kern w:val="0"/>
      <w:sz w:val="18"/>
      <w:szCs w:val="18"/>
    </w:rPr>
  </w:style>
  <w:style w:type="character" w:customStyle="1" w:styleId="118">
    <w:name w:val="标题 7 字符"/>
    <w:basedOn w:val="37"/>
    <w:link w:val="10"/>
    <w:semiHidden/>
    <w:qFormat/>
    <w:uiPriority w:val="1"/>
    <w:rPr>
      <w:rFonts w:ascii="Arial" w:hAnsi="Arial" w:cs="Arial"/>
      <w:b/>
      <w:bCs/>
      <w:kern w:val="2"/>
      <w:sz w:val="24"/>
      <w:szCs w:val="24"/>
    </w:rPr>
  </w:style>
  <w:style w:type="character" w:customStyle="1" w:styleId="119">
    <w:name w:val="标题 8 字符"/>
    <w:basedOn w:val="37"/>
    <w:link w:val="11"/>
    <w:semiHidden/>
    <w:qFormat/>
    <w:uiPriority w:val="0"/>
    <w:rPr>
      <w:rFonts w:asciiTheme="majorHAnsi" w:hAnsiTheme="majorHAnsi" w:eastAsiaTheme="majorEastAsia" w:cstheme="majorBidi"/>
      <w:kern w:val="2"/>
      <w:sz w:val="24"/>
      <w:szCs w:val="24"/>
    </w:rPr>
  </w:style>
  <w:style w:type="character" w:customStyle="1" w:styleId="120">
    <w:name w:val="标题 9 字符"/>
    <w:basedOn w:val="37"/>
    <w:link w:val="12"/>
    <w:semiHidden/>
    <w:qFormat/>
    <w:uiPriority w:val="1"/>
    <w:rPr>
      <w:rFonts w:asciiTheme="majorHAnsi" w:hAnsiTheme="majorHAnsi" w:eastAsiaTheme="majorEastAsia" w:cstheme="majorBidi"/>
      <w:kern w:val="2"/>
      <w:sz w:val="21"/>
      <w:szCs w:val="21"/>
    </w:rPr>
  </w:style>
  <w:style w:type="character" w:customStyle="1" w:styleId="121">
    <w:name w:val="Item Step Char"/>
    <w:basedOn w:val="37"/>
    <w:link w:val="65"/>
    <w:qFormat/>
    <w:uiPriority w:val="2"/>
    <w:rPr>
      <w:rFonts w:ascii="Arial" w:hAnsi="Arial"/>
      <w:sz w:val="21"/>
      <w:szCs w:val="24"/>
      <w:lang w:eastAsia="en-US"/>
    </w:rPr>
  </w:style>
  <w:style w:type="character" w:customStyle="1" w:styleId="122">
    <w:name w:val="标题 2 字符"/>
    <w:basedOn w:val="37"/>
    <w:link w:val="5"/>
    <w:qFormat/>
    <w:uiPriority w:val="0"/>
    <w:rPr>
      <w:rFonts w:ascii="Arial" w:hAnsi="Arial" w:eastAsia="黑体" w:cs="Arial"/>
      <w:bCs/>
      <w:color w:val="800000"/>
      <w:sz w:val="30"/>
      <w:szCs w:val="44"/>
    </w:rPr>
  </w:style>
  <w:style w:type="character" w:customStyle="1" w:styleId="123">
    <w:name w:val="标题 4 字符"/>
    <w:basedOn w:val="37"/>
    <w:link w:val="7"/>
    <w:qFormat/>
    <w:uiPriority w:val="0"/>
    <w:rPr>
      <w:rFonts w:ascii="Arial" w:hAnsi="Arial" w:eastAsia="黑体" w:cs="Arial"/>
      <w:bCs/>
      <w:color w:val="800000"/>
      <w:sz w:val="21"/>
      <w:szCs w:val="22"/>
    </w:rPr>
  </w:style>
  <w:style w:type="character" w:customStyle="1" w:styleId="124">
    <w:name w:val="Terminal Display Char"/>
    <w:basedOn w:val="37"/>
    <w:link w:val="58"/>
    <w:qFormat/>
    <w:uiPriority w:val="0"/>
    <w:rPr>
      <w:rFonts w:ascii="Courier New" w:hAnsi="Courier New" w:cs="Courier New"/>
      <w:sz w:val="17"/>
      <w:szCs w:val="17"/>
    </w:rPr>
  </w:style>
  <w:style w:type="character" w:customStyle="1" w:styleId="125">
    <w:name w:val="Figure Description Char"/>
    <w:basedOn w:val="37"/>
    <w:link w:val="51"/>
    <w:qFormat/>
    <w:uiPriority w:val="0"/>
    <w:rPr>
      <w:rFonts w:ascii="Arial" w:hAnsi="Arial" w:eastAsia="黑体" w:cs="Arial Narrow"/>
      <w:sz w:val="21"/>
    </w:rPr>
  </w:style>
  <w:style w:type="paragraph" w:customStyle="1" w:styleId="126">
    <w:name w:val="设置终端显示底纹"/>
    <w:basedOn w:val="58"/>
    <w:link w:val="127"/>
    <w:qFormat/>
    <w:uiPriority w:val="0"/>
    <w:pPr>
      <w:widowControl w:val="0"/>
      <w:shd w:val="clear" w:color="000000" w:fill="auto"/>
      <w:spacing w:before="0" w:after="0" w:line="240" w:lineRule="auto"/>
      <w:jc w:val="both"/>
    </w:pPr>
    <w:rPr>
      <w:shd w:val="pct10" w:color="auto" w:fill="FFFFFF"/>
    </w:rPr>
  </w:style>
  <w:style w:type="character" w:customStyle="1" w:styleId="127">
    <w:name w:val="设置终端显示底纹 Char"/>
    <w:basedOn w:val="124"/>
    <w:link w:val="126"/>
    <w:qFormat/>
    <w:uiPriority w:val="0"/>
    <w:rPr>
      <w:rFonts w:ascii="Courier New" w:hAnsi="Courier New" w:cs="Courier New"/>
      <w:sz w:val="17"/>
      <w:szCs w:val="17"/>
      <w:shd w:val="clear" w:color="000000" w:fill="auto"/>
    </w:rPr>
  </w:style>
  <w:style w:type="paragraph" w:customStyle="1" w:styleId="128">
    <w:name w:val="Table Heading left"/>
    <w:basedOn w:val="47"/>
    <w:qFormat/>
    <w:uiPriority w:val="0"/>
    <w:pPr>
      <w:widowControl w:val="0"/>
      <w:jc w:val="left"/>
    </w:pPr>
  </w:style>
  <w:style w:type="paragraph" w:styleId="129">
    <w:name w:val="List Paragraph"/>
    <w:basedOn w:val="1"/>
    <w:link w:val="149"/>
    <w:qFormat/>
    <w:uiPriority w:val="34"/>
    <w:pPr>
      <w:spacing w:after="80"/>
      <w:ind w:firstLine="420" w:firstLineChars="200"/>
    </w:pPr>
  </w:style>
  <w:style w:type="character" w:customStyle="1" w:styleId="130">
    <w:name w:val="页脚 字符"/>
    <w:basedOn w:val="37"/>
    <w:link w:val="23"/>
    <w:qFormat/>
    <w:uiPriority w:val="99"/>
    <w:rPr>
      <w:rFonts w:ascii="Arial" w:hAnsi="Arial" w:cs="Arial"/>
      <w:sz w:val="18"/>
      <w:szCs w:val="18"/>
    </w:rPr>
  </w:style>
  <w:style w:type="paragraph" w:customStyle="1" w:styleId="131">
    <w:name w:val="封面文档副标题"/>
    <w:basedOn w:val="108"/>
    <w:qFormat/>
    <w:uiPriority w:val="0"/>
    <w:pPr>
      <w:spacing w:before="200"/>
    </w:pPr>
    <w:rPr>
      <w:rFonts w:eastAsia="楷体_GB2312"/>
      <w:sz w:val="40"/>
    </w:rPr>
  </w:style>
  <w:style w:type="paragraph" w:customStyle="1" w:styleId="132">
    <w:name w:val="封面公司名称"/>
    <w:basedOn w:val="1"/>
    <w:semiHidden/>
    <w:qFormat/>
    <w:uiPriority w:val="0"/>
    <w:pPr>
      <w:snapToGrid w:val="0"/>
      <w:spacing w:before="120" w:after="0"/>
      <w:ind w:left="0"/>
      <w:jc w:val="center"/>
    </w:pPr>
    <w:rPr>
      <w:rFonts w:eastAsia="楷体_GB2312"/>
      <w:kern w:val="0"/>
      <w:sz w:val="24"/>
      <w:szCs w:val="32"/>
    </w:rPr>
  </w:style>
  <w:style w:type="paragraph" w:customStyle="1" w:styleId="133">
    <w:name w:val="摘要"/>
    <w:basedOn w:val="1"/>
    <w:qFormat/>
    <w:uiPriority w:val="0"/>
    <w:pPr>
      <w:tabs>
        <w:tab w:val="left" w:pos="851"/>
      </w:tabs>
      <w:snapToGrid w:val="0"/>
      <w:spacing w:before="80" w:after="80" w:line="360" w:lineRule="auto"/>
      <w:ind w:left="850" w:hanging="850" w:hangingChars="403"/>
    </w:pPr>
    <w:rPr>
      <w:b/>
      <w:kern w:val="0"/>
      <w:szCs w:val="21"/>
    </w:rPr>
  </w:style>
  <w:style w:type="paragraph" w:customStyle="1" w:styleId="134">
    <w:name w:val="文档标题"/>
    <w:basedOn w:val="1"/>
    <w:qFormat/>
    <w:uiPriority w:val="0"/>
    <w:pPr>
      <w:keepNext/>
      <w:tabs>
        <w:tab w:val="left" w:pos="0"/>
      </w:tabs>
      <w:snapToGrid w:val="0"/>
      <w:spacing w:before="480" w:after="360"/>
      <w:ind w:left="0"/>
      <w:jc w:val="center"/>
    </w:pPr>
    <w:rPr>
      <w:rFonts w:eastAsia="黑体"/>
      <w:color w:val="800000"/>
      <w:kern w:val="0"/>
      <w:sz w:val="44"/>
      <w:szCs w:val="36"/>
    </w:rPr>
  </w:style>
  <w:style w:type="paragraph" w:customStyle="1" w:styleId="135">
    <w:name w:val="Copyright"/>
    <w:qFormat/>
    <w:uiPriority w:val="0"/>
    <w:pPr>
      <w:spacing w:line="240" w:lineRule="exact"/>
    </w:pPr>
    <w:rPr>
      <w:rFonts w:ascii="Arial" w:hAnsi="Arial" w:eastAsia="宋体" w:cs="Arial"/>
      <w:kern w:val="2"/>
      <w:sz w:val="16"/>
      <w:szCs w:val="14"/>
      <w:lang w:val="en-US" w:eastAsia="zh-CN" w:bidi="ar-SA"/>
    </w:rPr>
  </w:style>
  <w:style w:type="paragraph" w:customStyle="1" w:styleId="136">
    <w:name w:val="表格非标题文字"/>
    <w:link w:val="137"/>
    <w:qFormat/>
    <w:uiPriority w:val="0"/>
    <w:pPr>
      <w:snapToGrid w:val="0"/>
      <w:spacing w:before="80" w:after="40"/>
    </w:pPr>
    <w:rPr>
      <w:rFonts w:ascii="Futura Bk" w:hAnsi="Futura Bk" w:eastAsia="宋体" w:cstheme="minorBidi"/>
      <w:kern w:val="2"/>
      <w:sz w:val="18"/>
      <w:szCs w:val="21"/>
      <w:lang w:val="en-US" w:eastAsia="zh-CN" w:bidi="ar-SA"/>
    </w:rPr>
  </w:style>
  <w:style w:type="character" w:customStyle="1" w:styleId="137">
    <w:name w:val="表格非标题文字 Char"/>
    <w:basedOn w:val="37"/>
    <w:link w:val="136"/>
    <w:qFormat/>
    <w:uiPriority w:val="0"/>
    <w:rPr>
      <w:rFonts w:ascii="Futura Bk" w:hAnsi="Futura Bk" w:cstheme="minorBidi"/>
      <w:kern w:val="2"/>
      <w:sz w:val="18"/>
      <w:szCs w:val="21"/>
    </w:rPr>
  </w:style>
  <w:style w:type="character" w:customStyle="1" w:styleId="138">
    <w:name w:val="标题 1 字符"/>
    <w:basedOn w:val="37"/>
    <w:link w:val="4"/>
    <w:qFormat/>
    <w:locked/>
    <w:uiPriority w:val="0"/>
    <w:rPr>
      <w:rFonts w:ascii="Arial" w:hAnsi="Arial" w:cs="Arial"/>
      <w:b/>
      <w:color w:val="800000"/>
      <w:sz w:val="36"/>
      <w:szCs w:val="48"/>
    </w:rPr>
  </w:style>
  <w:style w:type="character" w:customStyle="1" w:styleId="139">
    <w:name w:val="标题 3 字符"/>
    <w:basedOn w:val="37"/>
    <w:link w:val="6"/>
    <w:qFormat/>
    <w:locked/>
    <w:uiPriority w:val="0"/>
    <w:rPr>
      <w:rFonts w:ascii="Arial" w:hAnsi="Arial" w:eastAsia="黑体" w:cs="Arial"/>
      <w:bCs/>
      <w:color w:val="800000"/>
      <w:sz w:val="24"/>
      <w:szCs w:val="36"/>
    </w:rPr>
  </w:style>
  <w:style w:type="character" w:customStyle="1" w:styleId="140">
    <w:name w:val="标题 6 字符"/>
    <w:basedOn w:val="37"/>
    <w:link w:val="9"/>
    <w:semiHidden/>
    <w:qFormat/>
    <w:locked/>
    <w:uiPriority w:val="9"/>
    <w:rPr>
      <w:rFonts w:ascii="Futura Hv" w:hAnsi="Futura Hv" w:eastAsia="黑体"/>
      <w:bCs/>
      <w:kern w:val="2"/>
      <w:sz w:val="22"/>
      <w:szCs w:val="22"/>
    </w:rPr>
  </w:style>
  <w:style w:type="character" w:customStyle="1" w:styleId="141">
    <w:name w:val="页眉 字符"/>
    <w:basedOn w:val="37"/>
    <w:link w:val="24"/>
    <w:qFormat/>
    <w:locked/>
    <w:uiPriority w:val="99"/>
    <w:rPr>
      <w:rFonts w:ascii="Arial" w:hAnsi="Arial" w:cs="Arial"/>
      <w:sz w:val="18"/>
      <w:szCs w:val="18"/>
    </w:rPr>
  </w:style>
  <w:style w:type="character" w:customStyle="1" w:styleId="142">
    <w:name w:val="文档结构图 字符"/>
    <w:basedOn w:val="37"/>
    <w:link w:val="15"/>
    <w:semiHidden/>
    <w:qFormat/>
    <w:locked/>
    <w:uiPriority w:val="99"/>
    <w:rPr>
      <w:rFonts w:ascii="Arial" w:hAnsi="Arial" w:cs="Arial"/>
      <w:kern w:val="2"/>
      <w:sz w:val="21"/>
      <w:shd w:val="clear" w:color="auto" w:fill="000080"/>
    </w:rPr>
  </w:style>
  <w:style w:type="character" w:customStyle="1" w:styleId="143">
    <w:name w:val="批注主题 字符"/>
    <w:basedOn w:val="114"/>
    <w:link w:val="33"/>
    <w:semiHidden/>
    <w:qFormat/>
    <w:locked/>
    <w:uiPriority w:val="99"/>
    <w:rPr>
      <w:rFonts w:ascii="Arial" w:hAnsi="Arial" w:cs="Arial"/>
      <w:b/>
      <w:bCs/>
      <w:kern w:val="2"/>
      <w:sz w:val="21"/>
    </w:rPr>
  </w:style>
  <w:style w:type="character" w:customStyle="1" w:styleId="144">
    <w:name w:val="批注框文本 字符"/>
    <w:basedOn w:val="37"/>
    <w:link w:val="22"/>
    <w:semiHidden/>
    <w:qFormat/>
    <w:locked/>
    <w:uiPriority w:val="99"/>
    <w:rPr>
      <w:rFonts w:ascii="Arial" w:hAnsi="Arial" w:cs="Arial"/>
      <w:kern w:val="2"/>
      <w:sz w:val="18"/>
      <w:szCs w:val="18"/>
    </w:rPr>
  </w:style>
  <w:style w:type="table" w:customStyle="1" w:styleId="145">
    <w:name w:val="Table1"/>
    <w:basedOn w:val="35"/>
    <w:qFormat/>
    <w:uiPriority w:val="0"/>
    <w:pPr>
      <w:widowControl w:val="0"/>
    </w:pPr>
    <w:rPr>
      <w:rFonts w:ascii="Arial" w:hAnsi="Arial"/>
      <w:sz w:val="18"/>
    </w:rPr>
    <w:tblPr>
      <w:tblBorders>
        <w:insideH w:val="single" w:color="808080" w:sz="4" w:space="0"/>
        <w:insideV w:val="single" w:color="808080" w:sz="4" w:space="0"/>
      </w:tblBorders>
    </w:tblPr>
    <w:tcPr>
      <w:vAlign w:val="center"/>
    </w:tcPr>
    <w:tblStylePr w:type="firstRow">
      <w:pPr>
        <w:wordWrap/>
        <w:ind w:left="0" w:leftChars="0"/>
      </w:pPr>
      <w:tcPr>
        <w:tcBorders>
          <w:top w:val="single" w:color="auto" w:sz="4" w:space="0"/>
          <w:left w:val="nil"/>
          <w:bottom w:val="single" w:color="808080" w:sz="4" w:space="0"/>
          <w:right w:val="nil"/>
          <w:insideH w:val="nil"/>
          <w:insideV w:val="single" w:sz="4" w:space="0"/>
          <w:tl2br w:val="nil"/>
          <w:tr2bl w:val="nil"/>
        </w:tcBorders>
        <w:shd w:val="clear" w:color="auto" w:fill="D9D9D9"/>
      </w:tcPr>
    </w:tblStylePr>
    <w:tblStylePr w:type="lastRow">
      <w:tcPr>
        <w:tcBorders>
          <w:top w:val="single" w:color="808080" w:sz="4" w:space="0"/>
          <w:left w:val="nil"/>
          <w:bottom w:val="single" w:color="auto" w:sz="4" w:space="0"/>
          <w:right w:val="nil"/>
          <w:insideH w:val="nil"/>
          <w:insideV w:val="single" w:sz="4" w:space="0"/>
          <w:tl2br w:val="nil"/>
          <w:tr2bl w:val="nil"/>
        </w:tcBorders>
      </w:tcPr>
    </w:tblStylePr>
  </w:style>
  <w:style w:type="character" w:styleId="146">
    <w:name w:val="Placeholder Text"/>
    <w:basedOn w:val="37"/>
    <w:semiHidden/>
    <w:qFormat/>
    <w:uiPriority w:val="99"/>
    <w:rPr>
      <w:color w:val="808080"/>
    </w:rPr>
  </w:style>
  <w:style w:type="character" w:customStyle="1" w:styleId="147">
    <w:name w:val="脚注文本 字符"/>
    <w:basedOn w:val="37"/>
    <w:link w:val="27"/>
    <w:semiHidden/>
    <w:qFormat/>
    <w:uiPriority w:val="0"/>
    <w:rPr>
      <w:rFonts w:ascii="Arial" w:hAnsi="Arial" w:cs="Arial"/>
      <w:kern w:val="2"/>
      <w:sz w:val="18"/>
      <w:szCs w:val="18"/>
    </w:rPr>
  </w:style>
  <w:style w:type="paragraph" w:customStyle="1" w:styleId="148">
    <w:name w:val="修订1"/>
    <w:hidden/>
    <w:semiHidden/>
    <w:qFormat/>
    <w:uiPriority w:val="99"/>
    <w:rPr>
      <w:rFonts w:ascii="Arial" w:hAnsi="Arial" w:eastAsia="宋体" w:cs="Arial"/>
      <w:kern w:val="2"/>
      <w:sz w:val="21"/>
      <w:lang w:val="en-US" w:eastAsia="zh-CN" w:bidi="ar-SA"/>
    </w:rPr>
  </w:style>
  <w:style w:type="character" w:customStyle="1" w:styleId="149">
    <w:name w:val="列表段落 字符"/>
    <w:basedOn w:val="37"/>
    <w:link w:val="129"/>
    <w:qFormat/>
    <w:locked/>
    <w:uiPriority w:val="34"/>
    <w:rPr>
      <w:rFonts w:ascii="Arial" w:hAnsi="Arial" w:cs="Arial"/>
      <w:kern w:val="2"/>
      <w:sz w:val="21"/>
    </w:rPr>
  </w:style>
  <w:style w:type="character" w:customStyle="1" w:styleId="150">
    <w:name w:val="fontstyle21"/>
    <w:basedOn w:val="37"/>
    <w:qFormat/>
    <w:uiPriority w:val="0"/>
    <w:rPr>
      <w:rFonts w:hint="eastAsia" w:ascii="宋体" w:hAnsi="宋体" w:eastAsia="宋体"/>
      <w:color w:val="800000"/>
      <w:sz w:val="36"/>
      <w:szCs w:val="36"/>
    </w:rPr>
  </w:style>
  <w:style w:type="character" w:customStyle="1" w:styleId="151">
    <w:name w:val="fontstyle41"/>
    <w:basedOn w:val="37"/>
    <w:qFormat/>
    <w:uiPriority w:val="0"/>
    <w:rPr>
      <w:rFonts w:hint="eastAsia" w:ascii="黑体" w:hAnsi="黑体" w:eastAsia="黑体"/>
      <w:color w:val="800000"/>
      <w:sz w:val="30"/>
      <w:szCs w:val="30"/>
    </w:rPr>
  </w:style>
  <w:style w:type="paragraph" w:customStyle="1" w:styleId="152">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table" w:customStyle="1" w:styleId="153">
    <w:name w:val="网格表 7 彩色1"/>
    <w:basedOn w:val="34"/>
    <w:qFormat/>
    <w:uiPriority w:val="52"/>
    <w:rPr>
      <w:rFonts w:ascii="Calibri" w:hAnsi="Calibri"/>
      <w:color w:val="000000"/>
      <w:kern w:val="2"/>
      <w:sz w:val="21"/>
      <w:szCs w:val="21"/>
    </w:rPr>
    <w:tblPr>
      <w:tblBorders>
        <w:top w:val="single" w:color="666666" w:sz="4" w:space="0"/>
        <w:left w:val="single" w:color="666666" w:sz="4" w:space="0"/>
        <w:bottom w:val="single" w:color="666666" w:sz="4" w:space="0"/>
        <w:right w:val="single" w:color="666666" w:sz="4" w:space="0"/>
        <w:insideH w:val="single" w:color="666666" w:sz="4" w:space="0"/>
        <w:insideV w:val="single" w:color="666666" w:sz="4" w:space="0"/>
      </w:tblBorders>
    </w:tblPr>
    <w:tblStylePr w:type="firstRow">
      <w:rPr>
        <w:b/>
        <w:bCs/>
      </w:rPr>
      <w:tcPr>
        <w:tcBorders>
          <w:top w:val="nil"/>
          <w:left w:val="nil"/>
          <w:right w:val="nil"/>
          <w:insideH w:val="nil"/>
          <w:insideV w:val="nil"/>
        </w:tcBorders>
        <w:shd w:val="clear" w:color="auto" w:fill="FFFFFF"/>
      </w:tcPr>
    </w:tblStylePr>
    <w:tblStylePr w:type="lastRow">
      <w:rPr>
        <w:b/>
        <w:bCs/>
      </w:rPr>
      <w:tcPr>
        <w:tcBorders>
          <w:left w:val="nil"/>
          <w:bottom w:val="nil"/>
          <w:right w:val="nil"/>
          <w:insideH w:val="nil"/>
          <w:insideV w:val="nil"/>
        </w:tcBorders>
        <w:shd w:val="clear" w:color="auto" w:fill="FFFFFF"/>
      </w:tcPr>
    </w:tblStylePr>
    <w:tblStylePr w:type="firstCol">
      <w:pPr>
        <w:jc w:val="right"/>
      </w:pPr>
      <w:rPr>
        <w:i/>
        <w:iCs/>
      </w:rPr>
      <w:tcPr>
        <w:tcBorders>
          <w:top w:val="nil"/>
          <w:left w:val="nil"/>
          <w:bottom w:val="nil"/>
          <w:insideH w:val="nil"/>
          <w:insideV w:val="nil"/>
        </w:tcBorders>
        <w:shd w:val="clear" w:color="auto" w:fill="FFFFFF"/>
      </w:tcPr>
    </w:tblStylePr>
    <w:tblStylePr w:type="lastCol">
      <w:rPr>
        <w:i/>
        <w:iCs/>
      </w:rPr>
      <w:tcPr>
        <w:tcBorders>
          <w:top w:val="nil"/>
          <w:bottom w:val="nil"/>
          <w:right w:val="nil"/>
          <w:insideH w:val="nil"/>
          <w:insideV w:val="nil"/>
        </w:tcBorders>
        <w:shd w:val="clear" w:color="auto" w:fill="FFFFFF"/>
      </w:tcPr>
    </w:tblStylePr>
    <w:tblStylePr w:type="band1Vert">
      <w:tcPr>
        <w:shd w:val="clear" w:color="auto" w:fill="CCCCCC"/>
      </w:tcPr>
    </w:tblStylePr>
    <w:tblStylePr w:type="band1Horz">
      <w:tcPr>
        <w:shd w:val="clear" w:color="auto" w:fill="CCCCCC"/>
      </w:tcPr>
    </w:tblStylePr>
    <w:tblStylePr w:type="neCell">
      <w:tcPr>
        <w:tcBorders>
          <w:bottom w:val="single" w:color="666666" w:sz="4" w:space="0"/>
        </w:tcBorders>
      </w:tcPr>
    </w:tblStylePr>
    <w:tblStylePr w:type="nwCell">
      <w:tcPr>
        <w:tcBorders>
          <w:bottom w:val="single" w:color="666666" w:sz="4" w:space="0"/>
        </w:tcBorders>
      </w:tcPr>
    </w:tblStylePr>
    <w:tblStylePr w:type="seCell">
      <w:tcPr>
        <w:tcBorders>
          <w:top w:val="single" w:color="666666" w:sz="4" w:space="0"/>
        </w:tcBorders>
      </w:tcPr>
    </w:tblStylePr>
    <w:tblStylePr w:type="swCell">
      <w:tcPr>
        <w:tcBorders>
          <w:top w:val="single" w:color="666666" w:sz="4" w:space="0"/>
        </w:tcBorders>
      </w:tcPr>
    </w:tblStylePr>
  </w:style>
  <w:style w:type="table" w:customStyle="1" w:styleId="154">
    <w:name w:val="网格表 7 彩色2"/>
    <w:basedOn w:val="34"/>
    <w:qFormat/>
    <w:uiPriority w:val="52"/>
    <w:rPr>
      <w:color w:val="000000" w:themeColor="text1"/>
      <w14:textFill>
        <w14:solidFill>
          <w14:schemeClr w14:val="tx1"/>
        </w14:solidFill>
      </w14:textFill>
    </w:rPr>
    <w:tblPr>
      <w:tblBorders>
        <w:top w:val="single" w:color="666666" w:themeColor="text1" w:themeTint="99" w:sz="4" w:space="0"/>
        <w:left w:val="single" w:color="666666" w:themeColor="text1" w:themeTint="99" w:sz="4" w:space="0"/>
        <w:bottom w:val="single" w:color="666666" w:themeColor="text1" w:themeTint="99" w:sz="4" w:space="0"/>
        <w:right w:val="single" w:color="666666" w:themeColor="text1" w:themeTint="99" w:sz="4" w:space="0"/>
        <w:insideH w:val="single" w:color="666666" w:themeColor="text1" w:themeTint="99" w:sz="4" w:space="0"/>
        <w:insideV w:val="single" w:color="666666" w:themeColor="tex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CCCCCC" w:themeFill="text1" w:themeFillTint="33"/>
      </w:tcPr>
    </w:tblStylePr>
    <w:tblStylePr w:type="band1Horz">
      <w:tcPr>
        <w:shd w:val="clear" w:color="auto" w:fill="CCCCCC" w:themeFill="text1" w:themeFillTint="33"/>
      </w:tcPr>
    </w:tblStylePr>
    <w:tblStylePr w:type="neCell">
      <w:tcPr>
        <w:tcBorders>
          <w:bottom w:val="single" w:color="666666" w:themeColor="text1" w:themeTint="99" w:sz="4" w:space="0"/>
        </w:tcBorders>
      </w:tcPr>
    </w:tblStylePr>
    <w:tblStylePr w:type="nwCell">
      <w:tcPr>
        <w:tcBorders>
          <w:bottom w:val="single" w:color="666666" w:themeColor="text1" w:themeTint="99" w:sz="4" w:space="0"/>
        </w:tcBorders>
      </w:tcPr>
    </w:tblStylePr>
    <w:tblStylePr w:type="seCell">
      <w:tcPr>
        <w:tcBorders>
          <w:top w:val="single" w:color="666666" w:themeColor="text1" w:themeTint="99" w:sz="4" w:space="0"/>
        </w:tcBorders>
      </w:tcPr>
    </w:tblStylePr>
    <w:tblStylePr w:type="swCell">
      <w:tcPr>
        <w:tcBorders>
          <w:top w:val="single" w:color="666666" w:themeColor="text1" w:themeTint="99" w:sz="4" w:space="0"/>
        </w:tcBorders>
      </w:tcPr>
    </w:tblStylePr>
  </w:style>
  <w:style w:type="paragraph" w:customStyle="1" w:styleId="155">
    <w:name w:val="标题9"/>
    <w:basedOn w:val="11"/>
    <w:qFormat/>
    <w:uiPriority w:val="0"/>
    <w:pPr>
      <w:widowControl w:val="0"/>
      <w:numPr>
        <w:ilvl w:val="0"/>
        <w:numId w:val="5"/>
      </w:numPr>
      <w:tabs>
        <w:tab w:val="left" w:pos="1134"/>
      </w:tabs>
      <w:ind w:left="1134" w:hanging="510"/>
    </w:pPr>
    <w:rPr>
      <w:rFonts w:eastAsia="微软雅黑"/>
      <w:color w:val="5A5858"/>
      <w:sz w:val="18"/>
    </w:rPr>
  </w:style>
  <w:style w:type="paragraph" w:customStyle="1" w:styleId="156">
    <w:name w:val="itemlist"/>
    <w:basedOn w:val="1"/>
    <w:qFormat/>
    <w:uiPriority w:val="0"/>
    <w:pPr>
      <w:spacing w:before="100" w:beforeAutospacing="1" w:after="100" w:afterAutospacing="1"/>
      <w:ind w:left="0"/>
      <w:jc w:val="left"/>
    </w:pPr>
    <w:rPr>
      <w:rFonts w:ascii="宋体" w:hAnsi="宋体" w:cs="宋体"/>
      <w:kern w:val="0"/>
      <w:sz w:val="24"/>
      <w:szCs w:val="24"/>
    </w:rPr>
  </w:style>
  <w:style w:type="paragraph" w:customStyle="1" w:styleId="157">
    <w:name w:val="li正文_0"/>
    <w:basedOn w:val="1"/>
    <w:link w:val="158"/>
    <w:qFormat/>
    <w:uiPriority w:val="0"/>
    <w:pPr>
      <w:widowControl w:val="0"/>
      <w:suppressAutoHyphens/>
      <w:spacing w:before="0" w:after="0" w:line="360" w:lineRule="auto"/>
      <w:ind w:left="0" w:firstLine="200"/>
    </w:pPr>
    <w:rPr>
      <w:rFonts w:ascii="Times New Roman" w:hAnsi="Times New Roman" w:cs="Times New Roman"/>
      <w:sz w:val="24"/>
      <w:szCs w:val="21"/>
    </w:rPr>
  </w:style>
  <w:style w:type="character" w:customStyle="1" w:styleId="158">
    <w:name w:val="li正文 Char_0"/>
    <w:link w:val="157"/>
    <w:qFormat/>
    <w:uiPriority w:val="0"/>
    <w:rPr>
      <w:kern w:val="2"/>
      <w:sz w:val="24"/>
      <w:szCs w:val="21"/>
    </w:rPr>
  </w:style>
  <w:style w:type="paragraph" w:customStyle="1" w:styleId="159">
    <w:name w:val="SANGFOR_6_正文"/>
    <w:basedOn w:val="1"/>
    <w:link w:val="160"/>
    <w:qFormat/>
    <w:uiPriority w:val="0"/>
    <w:pPr>
      <w:widowControl w:val="0"/>
      <w:spacing w:before="160" w:after="120" w:line="360" w:lineRule="auto"/>
      <w:ind w:left="100" w:leftChars="100" w:right="100" w:rightChars="100"/>
      <w:jc w:val="left"/>
    </w:pPr>
    <w:rPr>
      <w:rFonts w:ascii="宋体" w:hAnsi="宋体" w:eastAsia="微软雅黑" w:cs="Times New Roman"/>
      <w:szCs w:val="21"/>
    </w:rPr>
  </w:style>
  <w:style w:type="character" w:customStyle="1" w:styleId="160">
    <w:name w:val="SANGFOR_6_正文 Char"/>
    <w:link w:val="159"/>
    <w:qFormat/>
    <w:locked/>
    <w:uiPriority w:val="0"/>
    <w:rPr>
      <w:rFonts w:ascii="宋体" w:hAnsi="宋体" w:eastAsia="微软雅黑"/>
      <w:kern w:val="2"/>
      <w:sz w:val="21"/>
      <w:szCs w:val="21"/>
    </w:rPr>
  </w:style>
  <w:style w:type="paragraph" w:customStyle="1" w:styleId="161">
    <w:name w:val="Pa4"/>
    <w:basedOn w:val="1"/>
    <w:next w:val="1"/>
    <w:qFormat/>
    <w:uiPriority w:val="99"/>
    <w:pPr>
      <w:widowControl w:val="0"/>
      <w:autoSpaceDE w:val="0"/>
      <w:autoSpaceDN w:val="0"/>
      <w:adjustRightInd w:val="0"/>
      <w:spacing w:before="160" w:after="100" w:line="171" w:lineRule="atLeast"/>
      <w:ind w:left="0"/>
      <w:jc w:val="left"/>
    </w:pPr>
    <w:rPr>
      <w:rFonts w:ascii="Futura Bk" w:hAnsi="Times New Roman" w:eastAsia="Futura Bk" w:cs="Times New Roman"/>
      <w:kern w:val="0"/>
      <w:szCs w:val="24"/>
    </w:rPr>
  </w:style>
  <w:style w:type="paragraph" w:customStyle="1" w:styleId="162">
    <w:name w:val="正式正文样式"/>
    <w:basedOn w:val="70"/>
    <w:link w:val="163"/>
    <w:qFormat/>
    <w:uiPriority w:val="0"/>
    <w:pPr>
      <w:numPr>
        <w:numId w:val="0"/>
      </w:numPr>
      <w:spacing w:before="0" w:after="0" w:line="360" w:lineRule="auto"/>
      <w:ind w:firstLine="480" w:firstLineChars="200"/>
    </w:pPr>
    <w:rPr>
      <w:rFonts w:ascii="宋体" w:hAnsi="宋体" w:cs="Times New Roman" w:eastAsiaTheme="minorEastAsia"/>
      <w:kern w:val="0"/>
      <w:szCs w:val="24"/>
      <w:lang w:eastAsia="zh-CN"/>
    </w:rPr>
  </w:style>
  <w:style w:type="character" w:customStyle="1" w:styleId="163">
    <w:name w:val="正式正文样式 Char"/>
    <w:link w:val="162"/>
    <w:qFormat/>
    <w:uiPriority w:val="0"/>
    <w:rPr>
      <w:rFonts w:ascii="宋体" w:hAnsi="宋体" w:eastAsiaTheme="minorEastAsia"/>
      <w:sz w:val="21"/>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6" Type="http://schemas.openxmlformats.org/officeDocument/2006/relationships/fontTable" Target="fontTable.xml"/><Relationship Id="rId75" Type="http://schemas.openxmlformats.org/officeDocument/2006/relationships/customXml" Target="../customXml/item3.xml"/><Relationship Id="rId74" Type="http://schemas.openxmlformats.org/officeDocument/2006/relationships/customXml" Target="../customXml/item2.xml"/><Relationship Id="rId73" Type="http://schemas.openxmlformats.org/officeDocument/2006/relationships/customXml" Target="../customXml/item1.xml"/><Relationship Id="rId72" Type="http://schemas.openxmlformats.org/officeDocument/2006/relationships/numbering" Target="numbering.xml"/><Relationship Id="rId71" Type="http://schemas.openxmlformats.org/officeDocument/2006/relationships/image" Target="media/image49.png"/><Relationship Id="rId70" Type="http://schemas.openxmlformats.org/officeDocument/2006/relationships/image" Target="media/image48.png"/><Relationship Id="rId7" Type="http://schemas.openxmlformats.org/officeDocument/2006/relationships/image" Target="media/image2.png"/><Relationship Id="rId69" Type="http://schemas.openxmlformats.org/officeDocument/2006/relationships/image" Target="media/image47.png"/><Relationship Id="rId68" Type="http://schemas.openxmlformats.org/officeDocument/2006/relationships/image" Target="media/image46.png"/><Relationship Id="rId67" Type="http://schemas.openxmlformats.org/officeDocument/2006/relationships/image" Target="media/image45.png"/><Relationship Id="rId66" Type="http://schemas.openxmlformats.org/officeDocument/2006/relationships/image" Target="media/image44.png"/><Relationship Id="rId65" Type="http://schemas.openxmlformats.org/officeDocument/2006/relationships/image" Target="media/image43.png"/><Relationship Id="rId64" Type="http://schemas.openxmlformats.org/officeDocument/2006/relationships/image" Target="media/image42.png"/><Relationship Id="rId63" Type="http://schemas.openxmlformats.org/officeDocument/2006/relationships/image" Target="media/image41.emf"/><Relationship Id="rId62" Type="http://schemas.openxmlformats.org/officeDocument/2006/relationships/package" Target="embeddings/Slide12.sldx"/><Relationship Id="rId61" Type="http://schemas.openxmlformats.org/officeDocument/2006/relationships/image" Target="media/image40.emf"/><Relationship Id="rId60" Type="http://schemas.openxmlformats.org/officeDocument/2006/relationships/package" Target="embeddings/Slide11.sldx"/><Relationship Id="rId6" Type="http://schemas.openxmlformats.org/officeDocument/2006/relationships/image" Target="media/image1.png"/><Relationship Id="rId59" Type="http://schemas.openxmlformats.org/officeDocument/2006/relationships/image" Target="media/image39.png"/><Relationship Id="rId58" Type="http://schemas.openxmlformats.org/officeDocument/2006/relationships/image" Target="media/image38.png"/><Relationship Id="rId57" Type="http://schemas.openxmlformats.org/officeDocument/2006/relationships/image" Target="media/image37.png"/><Relationship Id="rId56" Type="http://schemas.openxmlformats.org/officeDocument/2006/relationships/image" Target="media/image36.png"/><Relationship Id="rId55" Type="http://schemas.openxmlformats.org/officeDocument/2006/relationships/image" Target="media/image35.png"/><Relationship Id="rId54" Type="http://schemas.openxmlformats.org/officeDocument/2006/relationships/image" Target="media/image34.png"/><Relationship Id="rId53" Type="http://schemas.openxmlformats.org/officeDocument/2006/relationships/image" Target="media/image33.png"/><Relationship Id="rId52" Type="http://schemas.openxmlformats.org/officeDocument/2006/relationships/image" Target="media/image32.png"/><Relationship Id="rId51" Type="http://schemas.openxmlformats.org/officeDocument/2006/relationships/image" Target="media/image31.png"/><Relationship Id="rId50" Type="http://schemas.openxmlformats.org/officeDocument/2006/relationships/image" Target="media/image30.png"/><Relationship Id="rId5" Type="http://schemas.openxmlformats.org/officeDocument/2006/relationships/theme" Target="theme/theme1.xml"/><Relationship Id="rId49" Type="http://schemas.openxmlformats.org/officeDocument/2006/relationships/image" Target="media/image29.png"/><Relationship Id="rId48" Type="http://schemas.openxmlformats.org/officeDocument/2006/relationships/image" Target="media/image28.emf"/><Relationship Id="rId47" Type="http://schemas.openxmlformats.org/officeDocument/2006/relationships/package" Target="embeddings/Slide10.sldx"/><Relationship Id="rId46" Type="http://schemas.openxmlformats.org/officeDocument/2006/relationships/image" Target="media/image27.png"/><Relationship Id="rId45" Type="http://schemas.openxmlformats.org/officeDocument/2006/relationships/image" Target="media/image26.png"/><Relationship Id="rId44" Type="http://schemas.openxmlformats.org/officeDocument/2006/relationships/image" Target="media/image25.png"/><Relationship Id="rId43" Type="http://schemas.openxmlformats.org/officeDocument/2006/relationships/image" Target="media/image24.png"/><Relationship Id="rId42" Type="http://schemas.openxmlformats.org/officeDocument/2006/relationships/image" Target="media/image23.emf"/><Relationship Id="rId41" Type="http://schemas.openxmlformats.org/officeDocument/2006/relationships/package" Target="embeddings/Slide9.sldx"/><Relationship Id="rId40" Type="http://schemas.openxmlformats.org/officeDocument/2006/relationships/image" Target="media/image22.png"/><Relationship Id="rId4" Type="http://schemas.openxmlformats.org/officeDocument/2006/relationships/footer" Target="footer1.xml"/><Relationship Id="rId39" Type="http://schemas.openxmlformats.org/officeDocument/2006/relationships/image" Target="media/image21.png"/><Relationship Id="rId38" Type="http://schemas.openxmlformats.org/officeDocument/2006/relationships/image" Target="media/image20.png"/><Relationship Id="rId37" Type="http://schemas.openxmlformats.org/officeDocument/2006/relationships/image" Target="media/image19.png"/><Relationship Id="rId36" Type="http://schemas.microsoft.com/office/2007/relationships/diagramDrawing" Target="diagrams/drawing1.xml"/><Relationship Id="rId35" Type="http://schemas.openxmlformats.org/officeDocument/2006/relationships/diagramColors" Target="diagrams/colors1.xml"/><Relationship Id="rId34" Type="http://schemas.openxmlformats.org/officeDocument/2006/relationships/diagramQuickStyle" Target="diagrams/quickStyle1.xml"/><Relationship Id="rId33" Type="http://schemas.openxmlformats.org/officeDocument/2006/relationships/diagramLayout" Target="diagrams/layout1.xml"/><Relationship Id="rId32" Type="http://schemas.openxmlformats.org/officeDocument/2006/relationships/diagramData" Target="diagrams/data1.xml"/><Relationship Id="rId31" Type="http://schemas.openxmlformats.org/officeDocument/2006/relationships/image" Target="media/image18.emf"/><Relationship Id="rId30" Type="http://schemas.openxmlformats.org/officeDocument/2006/relationships/package" Target="embeddings/Slide8.sldx"/><Relationship Id="rId3" Type="http://schemas.openxmlformats.org/officeDocument/2006/relationships/footnotes" Target="footnotes.xml"/><Relationship Id="rId29" Type="http://schemas.openxmlformats.org/officeDocument/2006/relationships/image" Target="media/image17.png"/><Relationship Id="rId28" Type="http://schemas.openxmlformats.org/officeDocument/2006/relationships/image" Target="media/image16.emf"/><Relationship Id="rId27" Type="http://schemas.openxmlformats.org/officeDocument/2006/relationships/package" Target="embeddings/Slide7.sldx"/><Relationship Id="rId26" Type="http://schemas.openxmlformats.org/officeDocument/2006/relationships/image" Target="media/image15.emf"/><Relationship Id="rId25" Type="http://schemas.openxmlformats.org/officeDocument/2006/relationships/package" Target="embeddings/Slide6.sldx"/><Relationship Id="rId24" Type="http://schemas.openxmlformats.org/officeDocument/2006/relationships/image" Target="media/image14.emf"/><Relationship Id="rId23" Type="http://schemas.openxmlformats.org/officeDocument/2006/relationships/package" Target="embeddings/Slide5.sldx"/><Relationship Id="rId22" Type="http://schemas.openxmlformats.org/officeDocument/2006/relationships/image" Target="media/image13.emf"/><Relationship Id="rId21" Type="http://schemas.openxmlformats.org/officeDocument/2006/relationships/package" Target="embeddings/Slide4.sldx"/><Relationship Id="rId20" Type="http://schemas.openxmlformats.org/officeDocument/2006/relationships/image" Target="media/image12.emf"/><Relationship Id="rId2" Type="http://schemas.openxmlformats.org/officeDocument/2006/relationships/settings" Target="settings.xml"/><Relationship Id="rId19" Type="http://schemas.openxmlformats.org/officeDocument/2006/relationships/package" Target="embeddings/Slide3.sldx"/><Relationship Id="rId18" Type="http://schemas.openxmlformats.org/officeDocument/2006/relationships/image" Target="media/image11.emf"/><Relationship Id="rId17" Type="http://schemas.openxmlformats.org/officeDocument/2006/relationships/package" Target="embeddings/Slide2.sldx"/><Relationship Id="rId16" Type="http://schemas.openxmlformats.org/officeDocument/2006/relationships/image" Target="media/image10.emf"/><Relationship Id="rId15" Type="http://schemas.openxmlformats.org/officeDocument/2006/relationships/package" Target="embeddings/Slide1.sldx"/><Relationship Id="rId14" Type="http://schemas.openxmlformats.org/officeDocument/2006/relationships/image" Target="media/image9.jpe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workspace\&#31995;&#32479;&#37096;\UIS\&#36164;&#26009;\&#24066;&#22330;&#25216;&#26415;\02%20&#25216;&#26415;&#30333;&#30382;&#20070;\&#25216;&#26415;&#30333;&#30382;&#20070;&#20013;&#25991;&#27169;&#26495;(V1.2)-&#36890;&#29992;.dotx" TargetMode="External"/></Relationships>
</file>

<file path=word/diagrams/colors1.xml><?xml version="1.0" encoding="utf-8"?>
<dgm:colorsDef xmlns:dgm="http://schemas.openxmlformats.org/drawingml/2006/diagram" xmlns:a="http://schemas.openxmlformats.org/drawingml/2006/main" uniqueId="urn:microsoft.com/office/officeart/2005/8/colors/accent1_2#1">
  <dgm:title val=""/>
  <dgm:desc val=""/>
  <dgm:catLst>
    <dgm:cat type="accent1" pri="11200"/>
  </dgm:catLst>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8E283093-32A4-4B96-9DD9-96741F4250E2}" type="doc">
      <dgm:prSet loTypeId="urn:microsoft.com/office/officeart/2005/8/layout/orgChart1#1" loCatId="hierarchy" qsTypeId="urn:microsoft.com/office/officeart/2005/8/quickstyle/simple1#1" qsCatId="simple" csTypeId="urn:microsoft.com/office/officeart/2005/8/colors/accent1_2#1" csCatId="accent1" phldr="1"/>
      <dgm:spPr/>
      <dgm:t>
        <a:bodyPr/>
        <a:p>
          <a:endParaRPr lang="zh-CN" altLang="en-US"/>
        </a:p>
      </dgm:t>
    </dgm:pt>
    <dgm:pt modelId="{EA1099C2-EBF6-4922-8478-563EFD1E5128}">
      <dgm:prSet phldrT="[文本]" custT="1"/>
      <dgm:spPr/>
      <dgm:t>
        <a:bodyPr/>
        <a:p>
          <a:pPr algn="ctr"/>
          <a:r>
            <a:rPr lang="zh-CN" altLang="en-US" sz="1000"/>
            <a:t>可视化监控中心</a:t>
          </a:r>
        </a:p>
      </dgm:t>
    </dgm:pt>
    <dgm:pt modelId="{27A2CFC6-702F-4058-9004-10D4C17DF3E6}" cxnId="{101E2322-A7E8-4728-9148-4DB01155BC9A}" type="parTrans">
      <dgm:prSet/>
      <dgm:spPr/>
      <dgm:t>
        <a:bodyPr/>
        <a:p>
          <a:pPr algn="ctr"/>
          <a:endParaRPr lang="zh-CN" altLang="en-US" sz="1000"/>
        </a:p>
      </dgm:t>
    </dgm:pt>
    <dgm:pt modelId="{1EF65150-1676-4889-83B7-46DF82C65EE9}" cxnId="{101E2322-A7E8-4728-9148-4DB01155BC9A}" type="sibTrans">
      <dgm:prSet/>
      <dgm:spPr/>
      <dgm:t>
        <a:bodyPr/>
        <a:p>
          <a:pPr algn="ctr"/>
          <a:endParaRPr lang="zh-CN" altLang="en-US" sz="1000"/>
        </a:p>
      </dgm:t>
    </dgm:pt>
    <dgm:pt modelId="{1AFB6684-2615-4AFE-947F-BD1C41633B5C}">
      <dgm:prSet phldrT="[文本]" custT="1"/>
      <dgm:spPr/>
      <dgm:t>
        <a:bodyPr/>
        <a:p>
          <a:pPr algn="ctr"/>
          <a:r>
            <a:rPr lang="zh-CN" altLang="en-US" sz="1000"/>
            <a:t>服务全景图</a:t>
          </a:r>
        </a:p>
      </dgm:t>
    </dgm:pt>
    <dgm:pt modelId="{42C805C0-DF85-4B54-B26D-844A1BF16B1B}" cxnId="{97812B6F-26BA-40C3-B3EA-DB849A77860D}" type="parTrans">
      <dgm:prSet/>
      <dgm:spPr/>
      <dgm:t>
        <a:bodyPr/>
        <a:p>
          <a:pPr algn="ctr"/>
          <a:endParaRPr lang="zh-CN" altLang="en-US" sz="1000"/>
        </a:p>
      </dgm:t>
    </dgm:pt>
    <dgm:pt modelId="{75A3A3A1-3A10-4AD7-A4F9-4B81D751B364}" cxnId="{97812B6F-26BA-40C3-B3EA-DB849A77860D}" type="sibTrans">
      <dgm:prSet/>
      <dgm:spPr/>
      <dgm:t>
        <a:bodyPr/>
        <a:p>
          <a:pPr algn="ctr"/>
          <a:endParaRPr lang="zh-CN" altLang="en-US" sz="1000"/>
        </a:p>
      </dgm:t>
    </dgm:pt>
    <dgm:pt modelId="{FF1924B3-1A83-4453-AB7F-26286B10289A}">
      <dgm:prSet phldrT="[文本]" custT="1"/>
      <dgm:spPr/>
      <dgm:t>
        <a:bodyPr/>
        <a:p>
          <a:pPr algn="ctr"/>
          <a:r>
            <a:rPr lang="zh-CN" altLang="en-US" sz="1000"/>
            <a:t>服务可靠性</a:t>
          </a:r>
        </a:p>
      </dgm:t>
    </dgm:pt>
    <dgm:pt modelId="{6C871142-CE56-43CB-AEB8-1FEA60594B4A}" cxnId="{07D6D704-7B80-4D0E-82AE-2C0EF4BC65EC}" type="parTrans">
      <dgm:prSet/>
      <dgm:spPr/>
      <dgm:t>
        <a:bodyPr/>
        <a:p>
          <a:pPr algn="ctr"/>
          <a:endParaRPr lang="zh-CN" altLang="en-US" sz="1000"/>
        </a:p>
      </dgm:t>
    </dgm:pt>
    <dgm:pt modelId="{698A0D7F-F0AD-4EA8-8672-C0584D5226D5}" cxnId="{07D6D704-7B80-4D0E-82AE-2C0EF4BC65EC}" type="sibTrans">
      <dgm:prSet/>
      <dgm:spPr/>
      <dgm:t>
        <a:bodyPr/>
        <a:p>
          <a:pPr algn="ctr"/>
          <a:endParaRPr lang="zh-CN" altLang="en-US" sz="1000"/>
        </a:p>
      </dgm:t>
    </dgm:pt>
    <dgm:pt modelId="{9F0F5E32-C699-483C-9528-87F9B4D7C1AC}">
      <dgm:prSet phldrT="[文本]" custT="1"/>
      <dgm:spPr/>
      <dgm:t>
        <a:bodyPr/>
        <a:p>
          <a:pPr algn="ctr"/>
          <a:r>
            <a:rPr lang="zh-CN" altLang="en-US" sz="1000"/>
            <a:t>系统可靠性</a:t>
          </a:r>
        </a:p>
      </dgm:t>
    </dgm:pt>
    <dgm:pt modelId="{F623CCE9-A988-4C28-979D-7B1893B75839}" cxnId="{03F947A6-CA0D-4955-934D-5A19AFE044D2}" type="parTrans">
      <dgm:prSet/>
      <dgm:spPr/>
      <dgm:t>
        <a:bodyPr/>
        <a:p>
          <a:pPr algn="ctr"/>
          <a:endParaRPr lang="zh-CN" altLang="en-US" sz="1000"/>
        </a:p>
      </dgm:t>
    </dgm:pt>
    <dgm:pt modelId="{AC461318-D655-4554-BDE8-CA2C55D000AD}" cxnId="{03F947A6-CA0D-4955-934D-5A19AFE044D2}" type="sibTrans">
      <dgm:prSet/>
      <dgm:spPr/>
      <dgm:t>
        <a:bodyPr/>
        <a:p>
          <a:pPr algn="ctr"/>
          <a:endParaRPr lang="zh-CN" altLang="en-US" sz="1000"/>
        </a:p>
      </dgm:t>
    </dgm:pt>
    <dgm:pt modelId="{019D9886-FE21-4042-BD8C-1E610498E706}">
      <dgm:prSet phldrT="[文本]" custT="1"/>
      <dgm:spPr/>
      <dgm:t>
        <a:bodyPr/>
        <a:p>
          <a:pPr algn="ctr"/>
          <a:r>
            <a:rPr lang="zh-CN" altLang="en-US" sz="1000"/>
            <a:t>业务容灾管理</a:t>
          </a:r>
        </a:p>
      </dgm:t>
    </dgm:pt>
    <dgm:pt modelId="{BCCC9C7F-ECD1-4478-BE23-560985E9D02A}" cxnId="{DAA9B8B7-E597-4664-AC18-59D70367DB0D}" type="parTrans">
      <dgm:prSet/>
      <dgm:spPr/>
      <dgm:t>
        <a:bodyPr/>
        <a:p>
          <a:pPr algn="ctr"/>
          <a:endParaRPr lang="zh-CN" altLang="en-US" sz="1000"/>
        </a:p>
      </dgm:t>
    </dgm:pt>
    <dgm:pt modelId="{C976EA60-AA00-43E3-891D-1F9B2F3EDDDD}" cxnId="{DAA9B8B7-E597-4664-AC18-59D70367DB0D}" type="sibTrans">
      <dgm:prSet/>
      <dgm:spPr/>
      <dgm:t>
        <a:bodyPr/>
        <a:p>
          <a:pPr algn="ctr"/>
          <a:endParaRPr lang="zh-CN" altLang="en-US" sz="1000"/>
        </a:p>
      </dgm:t>
    </dgm:pt>
    <dgm:pt modelId="{69E3CF74-11BB-468A-B19C-06BB5555AF25}">
      <dgm:prSet phldrT="[文本]" custT="1"/>
      <dgm:spPr/>
      <dgm:t>
        <a:bodyPr/>
        <a:p>
          <a:pPr algn="ctr"/>
          <a:r>
            <a:rPr lang="zh-CN" altLang="en-US" sz="1000"/>
            <a:t>虚拟机备份管理</a:t>
          </a:r>
        </a:p>
      </dgm:t>
    </dgm:pt>
    <dgm:pt modelId="{97F155F0-E427-4481-A586-C73E9B07A7E2}" cxnId="{65232616-4EB3-4A98-968D-87F18FD95235}" type="parTrans">
      <dgm:prSet/>
      <dgm:spPr/>
      <dgm:t>
        <a:bodyPr/>
        <a:p>
          <a:pPr algn="ctr"/>
          <a:endParaRPr lang="zh-CN" altLang="en-US" sz="1000"/>
        </a:p>
      </dgm:t>
    </dgm:pt>
    <dgm:pt modelId="{2E51A042-F920-44D9-89A2-B62BB4BBEAF7}" cxnId="{65232616-4EB3-4A98-968D-87F18FD95235}" type="sibTrans">
      <dgm:prSet/>
      <dgm:spPr/>
      <dgm:t>
        <a:bodyPr/>
        <a:p>
          <a:pPr algn="ctr"/>
          <a:endParaRPr lang="zh-CN" altLang="en-US" sz="1000"/>
        </a:p>
      </dgm:t>
    </dgm:pt>
    <dgm:pt modelId="{A4D7EA2D-FD3B-4339-A0E3-052C4EC4BFD6}">
      <dgm:prSet phldrT="[文本]" custT="1"/>
      <dgm:spPr/>
      <dgm:t>
        <a:bodyPr/>
        <a:p>
          <a:pPr algn="ctr"/>
          <a:r>
            <a:rPr lang="zh-CN" altLang="en-US" sz="1000"/>
            <a:t>集群高可靠（</a:t>
          </a:r>
          <a:r>
            <a:rPr lang="en-US" altLang="zh-CN" sz="1000"/>
            <a:t>HA</a:t>
          </a:r>
          <a:r>
            <a:rPr lang="zh-CN" altLang="en-US" sz="1000"/>
            <a:t>）</a:t>
          </a:r>
        </a:p>
      </dgm:t>
    </dgm:pt>
    <dgm:pt modelId="{769D7B1E-57CC-4419-A8C3-264566AF0356}" cxnId="{03636AC9-B590-4C41-8175-7F30112F3B1E}" type="parTrans">
      <dgm:prSet/>
      <dgm:spPr/>
      <dgm:t>
        <a:bodyPr/>
        <a:p>
          <a:pPr algn="ctr"/>
          <a:endParaRPr lang="zh-CN" altLang="en-US" sz="1000"/>
        </a:p>
      </dgm:t>
    </dgm:pt>
    <dgm:pt modelId="{477E11FC-87FF-4C12-896F-ABE5CECB7901}" cxnId="{03636AC9-B590-4C41-8175-7F30112F3B1E}" type="sibTrans">
      <dgm:prSet/>
      <dgm:spPr/>
      <dgm:t>
        <a:bodyPr/>
        <a:p>
          <a:pPr algn="ctr"/>
          <a:endParaRPr lang="zh-CN" altLang="en-US" sz="1000"/>
        </a:p>
      </dgm:t>
    </dgm:pt>
    <dgm:pt modelId="{B1452405-E130-42BD-87D9-11A6B8C65741}">
      <dgm:prSet phldrT="[文本]" custT="1"/>
      <dgm:spPr/>
      <dgm:t>
        <a:bodyPr/>
        <a:p>
          <a:pPr algn="ctr"/>
          <a:r>
            <a:rPr lang="zh-CN" altLang="en-US" sz="1000"/>
            <a:t>动态资源调度（</a:t>
          </a:r>
          <a:r>
            <a:rPr lang="en-US" altLang="zh-CN" sz="1000"/>
            <a:t>DRS</a:t>
          </a:r>
          <a:r>
            <a:rPr lang="zh-CN" altLang="en-US" sz="1000"/>
            <a:t>）</a:t>
          </a:r>
        </a:p>
      </dgm:t>
    </dgm:pt>
    <dgm:pt modelId="{534D3E5E-665D-40CB-A2BB-F818B87C824C}" cxnId="{46CF3B3E-B200-4BC5-892A-B0B4602D462D}" type="parTrans">
      <dgm:prSet/>
      <dgm:spPr/>
      <dgm:t>
        <a:bodyPr/>
        <a:p>
          <a:pPr algn="ctr"/>
          <a:endParaRPr lang="zh-CN" altLang="en-US" sz="1000"/>
        </a:p>
      </dgm:t>
    </dgm:pt>
    <dgm:pt modelId="{270E3572-6E36-4E79-8BC7-966E1765B704}" cxnId="{46CF3B3E-B200-4BC5-892A-B0B4602D462D}" type="sibTrans">
      <dgm:prSet/>
      <dgm:spPr/>
      <dgm:t>
        <a:bodyPr/>
        <a:p>
          <a:pPr algn="ctr"/>
          <a:endParaRPr lang="zh-CN" altLang="en-US" sz="1000"/>
        </a:p>
      </dgm:t>
    </dgm:pt>
    <dgm:pt modelId="{16030DE0-627D-4AC5-A880-7205884349E4}">
      <dgm:prSet phldrT="[文本]" custT="1"/>
      <dgm:spPr/>
      <dgm:t>
        <a:bodyPr/>
        <a:p>
          <a:pPr algn="ctr"/>
          <a:r>
            <a:rPr lang="zh-CN" sz="1000"/>
            <a:t>集群</a:t>
          </a:r>
          <a:r>
            <a:rPr lang="zh-CN" altLang="en-US" sz="1000"/>
            <a:t>主机</a:t>
          </a:r>
          <a:r>
            <a:rPr lang="zh-CN" sz="1000"/>
            <a:t>状态</a:t>
          </a:r>
          <a:endParaRPr lang="zh-CN" altLang="en-US" sz="1000"/>
        </a:p>
      </dgm:t>
    </dgm:pt>
    <dgm:pt modelId="{59A5CF65-2CDF-4C2E-8D78-20E1664B296B}" cxnId="{581ED76B-0BAE-49F0-88B0-8ADA44F87E9F}" type="parTrans">
      <dgm:prSet/>
      <dgm:spPr/>
      <dgm:t>
        <a:bodyPr/>
        <a:p>
          <a:pPr algn="ctr"/>
          <a:endParaRPr lang="zh-CN" altLang="en-US" sz="1000"/>
        </a:p>
      </dgm:t>
    </dgm:pt>
    <dgm:pt modelId="{F4EC6B16-0AA2-481F-A00C-114CAEE9BA32}" cxnId="{581ED76B-0BAE-49F0-88B0-8ADA44F87E9F}" type="sibTrans">
      <dgm:prSet/>
      <dgm:spPr/>
      <dgm:t>
        <a:bodyPr/>
        <a:p>
          <a:pPr algn="ctr"/>
          <a:endParaRPr lang="zh-CN" altLang="en-US" sz="1000"/>
        </a:p>
      </dgm:t>
    </dgm:pt>
    <dgm:pt modelId="{946ACC72-FFFB-46CE-A41E-4C1F595731CB}">
      <dgm:prSet phldrT="[文本]" custT="1"/>
      <dgm:spPr/>
      <dgm:t>
        <a:bodyPr/>
        <a:p>
          <a:pPr algn="ctr"/>
          <a:r>
            <a:rPr lang="zh-CN" altLang="en-US" sz="1000"/>
            <a:t>资源过载状态</a:t>
          </a:r>
        </a:p>
      </dgm:t>
    </dgm:pt>
    <dgm:pt modelId="{77D26BE7-E107-4C4B-9C61-D0E38611F73C}" cxnId="{05B707EF-4FC6-4B09-BA2C-8E53F34DFA35}" type="parTrans">
      <dgm:prSet/>
      <dgm:spPr/>
      <dgm:t>
        <a:bodyPr/>
        <a:p>
          <a:pPr algn="ctr"/>
          <a:endParaRPr lang="zh-CN" altLang="en-US" sz="1000"/>
        </a:p>
      </dgm:t>
    </dgm:pt>
    <dgm:pt modelId="{5A39BE74-44CE-4CB9-8E75-819BE2EAF571}" cxnId="{05B707EF-4FC6-4B09-BA2C-8E53F34DFA35}" type="sibTrans">
      <dgm:prSet/>
      <dgm:spPr/>
      <dgm:t>
        <a:bodyPr/>
        <a:p>
          <a:pPr algn="ctr"/>
          <a:endParaRPr lang="zh-CN" altLang="en-US" sz="1000"/>
        </a:p>
      </dgm:t>
    </dgm:pt>
    <dgm:pt modelId="{98B656AC-4328-414F-B03D-2A12E591144D}">
      <dgm:prSet phldrT="[文本]" custT="1"/>
      <dgm:spPr/>
      <dgm:t>
        <a:bodyPr/>
        <a:p>
          <a:pPr algn="ctr"/>
          <a:r>
            <a:rPr lang="zh-CN" altLang="en-US" sz="1000"/>
            <a:t>网络配置状态</a:t>
          </a:r>
        </a:p>
      </dgm:t>
    </dgm:pt>
    <dgm:pt modelId="{27345A43-B8F0-4418-8AE7-0BAB69061B16}" cxnId="{45AAA704-B144-43B7-8D69-3DED4318CE14}" type="parTrans">
      <dgm:prSet/>
      <dgm:spPr/>
      <dgm:t>
        <a:bodyPr/>
        <a:p>
          <a:pPr algn="ctr"/>
          <a:endParaRPr lang="zh-CN" altLang="en-US" sz="1000"/>
        </a:p>
      </dgm:t>
    </dgm:pt>
    <dgm:pt modelId="{2E94CF97-63AA-4639-BE43-A0CAC69380BA}" cxnId="{45AAA704-B144-43B7-8D69-3DED4318CE14}" type="sibTrans">
      <dgm:prSet/>
      <dgm:spPr/>
      <dgm:t>
        <a:bodyPr/>
        <a:p>
          <a:pPr algn="ctr"/>
          <a:endParaRPr lang="zh-CN" altLang="en-US" sz="1000"/>
        </a:p>
      </dgm:t>
    </dgm:pt>
    <dgm:pt modelId="{DBCEFC0D-4A74-454F-80B7-88B53E62673B}">
      <dgm:prSet phldrT="[文本]" custT="1"/>
      <dgm:spPr/>
      <dgm:t>
        <a:bodyPr/>
        <a:p>
          <a:pPr algn="ctr"/>
          <a:r>
            <a:rPr lang="zh-CN" altLang="en-US" sz="1000"/>
            <a:t>分布式存储集群状态</a:t>
          </a:r>
        </a:p>
      </dgm:t>
    </dgm:pt>
    <dgm:pt modelId="{E3C0A578-CD3D-426B-BE82-14D8CCD84311}" cxnId="{7137E72B-14DD-47A7-A98C-0B5F6E28D6EB}" type="parTrans">
      <dgm:prSet/>
      <dgm:spPr/>
      <dgm:t>
        <a:bodyPr/>
        <a:p>
          <a:pPr algn="ctr"/>
          <a:endParaRPr lang="zh-CN" altLang="en-US" sz="1000"/>
        </a:p>
      </dgm:t>
    </dgm:pt>
    <dgm:pt modelId="{FE5251D6-B2BB-4741-8EF0-84CE7BB22ABC}" cxnId="{7137E72B-14DD-47A7-A98C-0B5F6E28D6EB}" type="sibTrans">
      <dgm:prSet/>
      <dgm:spPr/>
      <dgm:t>
        <a:bodyPr/>
        <a:p>
          <a:pPr algn="ctr"/>
          <a:endParaRPr lang="zh-CN" altLang="en-US" sz="1000"/>
        </a:p>
      </dgm:t>
    </dgm:pt>
    <dgm:pt modelId="{C2E010DC-331B-43D6-8444-C0B1199981A4}">
      <dgm:prSet phldrT="[文本]" custT="1"/>
      <dgm:spPr/>
      <dgm:t>
        <a:bodyPr/>
        <a:p>
          <a:pPr algn="ctr"/>
          <a:r>
            <a:rPr lang="zh-CN" altLang="en-US" sz="1000"/>
            <a:t>分布式存储数据池状态</a:t>
          </a:r>
        </a:p>
      </dgm:t>
    </dgm:pt>
    <dgm:pt modelId="{DFDC00F3-4ADB-454D-BFB9-38035F15BEA2}" cxnId="{4524C8E6-4221-4476-8703-4DAB8DD2B0A5}" type="parTrans">
      <dgm:prSet/>
      <dgm:spPr/>
      <dgm:t>
        <a:bodyPr/>
        <a:p>
          <a:pPr algn="ctr"/>
          <a:endParaRPr lang="zh-CN" altLang="en-US" sz="1000"/>
        </a:p>
      </dgm:t>
    </dgm:pt>
    <dgm:pt modelId="{01AEAA86-B762-4B7A-9A3C-3394D78515D8}" cxnId="{4524C8E6-4221-4476-8703-4DAB8DD2B0A5}" type="sibTrans">
      <dgm:prSet/>
      <dgm:spPr/>
      <dgm:t>
        <a:bodyPr/>
        <a:p>
          <a:pPr algn="ctr"/>
          <a:endParaRPr lang="zh-CN" altLang="en-US" sz="1000"/>
        </a:p>
      </dgm:t>
    </dgm:pt>
    <dgm:pt modelId="{C5D17B15-7B1A-4BF8-9FCC-23A201EAF9F9}">
      <dgm:prSet phldrT="[文本]" custT="1"/>
      <dgm:spPr/>
      <dgm:t>
        <a:bodyPr/>
        <a:p>
          <a:pPr algn="ctr"/>
          <a:r>
            <a:rPr lang="zh-CN" altLang="en-US" sz="1000"/>
            <a:t>硬件可靠性</a:t>
          </a:r>
        </a:p>
      </dgm:t>
    </dgm:pt>
    <dgm:pt modelId="{78EDEBB2-E6F1-4B37-9065-AB03AFFEFDA0}" cxnId="{A533EC3A-4124-43F3-8051-F99E19C18EEF}" type="parTrans">
      <dgm:prSet/>
      <dgm:spPr/>
      <dgm:t>
        <a:bodyPr/>
        <a:p>
          <a:pPr algn="ctr"/>
          <a:endParaRPr lang="zh-CN" altLang="en-US" sz="1000"/>
        </a:p>
      </dgm:t>
    </dgm:pt>
    <dgm:pt modelId="{732DC899-81C7-4B29-818C-797A643CCBA7}" cxnId="{A533EC3A-4124-43F3-8051-F99E19C18EEF}" type="sibTrans">
      <dgm:prSet/>
      <dgm:spPr/>
      <dgm:t>
        <a:bodyPr/>
        <a:p>
          <a:pPr algn="ctr"/>
          <a:endParaRPr lang="zh-CN" altLang="en-US" sz="1000"/>
        </a:p>
      </dgm:t>
    </dgm:pt>
    <dgm:pt modelId="{01ECA6C3-51F0-4FC7-8491-256CE7E0DBC1}">
      <dgm:prSet phldrT="[文本]" custT="1"/>
      <dgm:spPr/>
      <dgm:t>
        <a:bodyPr/>
        <a:p>
          <a:pPr algn="ctr"/>
          <a:r>
            <a:rPr lang="en-US" altLang="zh-CN" sz="1000"/>
            <a:t>CPU</a:t>
          </a:r>
          <a:endParaRPr lang="zh-CN" altLang="en-US" sz="1000"/>
        </a:p>
      </dgm:t>
    </dgm:pt>
    <dgm:pt modelId="{23CF0F95-67A8-4769-92C7-8A158D5AF346}" cxnId="{66B8EB78-8FC9-42AD-B522-A6187A413459}" type="parTrans">
      <dgm:prSet/>
      <dgm:spPr/>
      <dgm:t>
        <a:bodyPr/>
        <a:p>
          <a:pPr algn="ctr"/>
          <a:endParaRPr lang="zh-CN" altLang="en-US" sz="1000"/>
        </a:p>
      </dgm:t>
    </dgm:pt>
    <dgm:pt modelId="{BD227E48-E65E-4EC2-AE2A-4DCF6ED74915}" cxnId="{66B8EB78-8FC9-42AD-B522-A6187A413459}" type="sibTrans">
      <dgm:prSet/>
      <dgm:spPr/>
      <dgm:t>
        <a:bodyPr/>
        <a:p>
          <a:pPr algn="ctr"/>
          <a:endParaRPr lang="zh-CN" altLang="en-US" sz="1000"/>
        </a:p>
      </dgm:t>
    </dgm:pt>
    <dgm:pt modelId="{096D03D5-DE86-4AD5-9A49-B12B66E9E46C}">
      <dgm:prSet phldrT="[文本]" custT="1"/>
      <dgm:spPr/>
      <dgm:t>
        <a:bodyPr/>
        <a:p>
          <a:pPr algn="ctr"/>
          <a:r>
            <a:rPr lang="zh-CN" altLang="en-US" sz="1000"/>
            <a:t>一键巡检</a:t>
          </a:r>
        </a:p>
      </dgm:t>
    </dgm:pt>
    <dgm:pt modelId="{CB2D089B-61D4-4C5C-B160-6D9298E86451}" cxnId="{764AAEA3-B853-4239-8A5F-983D9F87C01F}" type="parTrans">
      <dgm:prSet/>
      <dgm:spPr/>
      <dgm:t>
        <a:bodyPr/>
        <a:p>
          <a:pPr algn="ctr"/>
          <a:endParaRPr lang="zh-CN" altLang="en-US" sz="1000"/>
        </a:p>
      </dgm:t>
    </dgm:pt>
    <dgm:pt modelId="{A5ED89BB-3B67-49C8-8717-0D3191F92B7B}" cxnId="{764AAEA3-B853-4239-8A5F-983D9F87C01F}" type="sibTrans">
      <dgm:prSet/>
      <dgm:spPr/>
      <dgm:t>
        <a:bodyPr/>
        <a:p>
          <a:pPr algn="ctr"/>
          <a:endParaRPr lang="zh-CN" altLang="en-US" sz="1000"/>
        </a:p>
      </dgm:t>
    </dgm:pt>
    <dgm:pt modelId="{43476426-3466-40A4-A5AC-106ED74E27E2}">
      <dgm:prSet custT="1"/>
      <dgm:spPr/>
      <dgm:t>
        <a:bodyPr/>
        <a:p>
          <a:pPr algn="ctr"/>
          <a:r>
            <a:rPr lang="zh-CN" altLang="en-US" sz="1000"/>
            <a:t>健康巡检</a:t>
          </a:r>
          <a:endParaRPr lang="en-US" altLang="zh-CN" sz="1000"/>
        </a:p>
      </dgm:t>
    </dgm:pt>
    <dgm:pt modelId="{87777633-8E0C-48AB-8B79-7217BA570FAB}" cxnId="{43DE95AB-2A57-425E-B37F-731B4866D4CC}" type="parTrans">
      <dgm:prSet/>
      <dgm:spPr/>
      <dgm:t>
        <a:bodyPr/>
        <a:p>
          <a:pPr algn="ctr"/>
          <a:endParaRPr lang="zh-CN" altLang="en-US" sz="1000"/>
        </a:p>
      </dgm:t>
    </dgm:pt>
    <dgm:pt modelId="{98D17358-B614-4297-9B78-ADC172C4CAC4}" cxnId="{43DE95AB-2A57-425E-B37F-731B4866D4CC}" type="sibTrans">
      <dgm:prSet/>
      <dgm:spPr/>
      <dgm:t>
        <a:bodyPr/>
        <a:p>
          <a:pPr algn="ctr"/>
          <a:endParaRPr lang="zh-CN" altLang="en-US" sz="1000"/>
        </a:p>
      </dgm:t>
    </dgm:pt>
    <dgm:pt modelId="{7619B696-88D0-4B84-917F-823CA56F643C}">
      <dgm:prSet phldrT="[文本]" custT="1"/>
      <dgm:spPr/>
      <dgm:t>
        <a:bodyPr/>
        <a:p>
          <a:pPr algn="ctr"/>
          <a:r>
            <a:rPr lang="zh-CN" altLang="en-US" sz="1000"/>
            <a:t>应用</a:t>
          </a:r>
          <a:r>
            <a:rPr lang="en-US" altLang="zh-CN" sz="1000"/>
            <a:t>HA</a:t>
          </a:r>
          <a:endParaRPr lang="zh-CN" altLang="en-US" sz="1000"/>
        </a:p>
      </dgm:t>
    </dgm:pt>
    <dgm:pt modelId="{49605F3F-BD6B-4765-A7D7-7F7989E8D7B0}" cxnId="{CFE4DBA9-CAF1-4BE5-BE48-C3E2311B8C20}" type="parTrans">
      <dgm:prSet/>
      <dgm:spPr/>
      <dgm:t>
        <a:bodyPr/>
        <a:p>
          <a:pPr algn="ctr"/>
          <a:endParaRPr lang="zh-CN" altLang="en-US" sz="1000"/>
        </a:p>
      </dgm:t>
    </dgm:pt>
    <dgm:pt modelId="{54847EFE-B4C5-4694-8354-48068C49AF99}" cxnId="{CFE4DBA9-CAF1-4BE5-BE48-C3E2311B8C20}" type="sibTrans">
      <dgm:prSet/>
      <dgm:spPr/>
      <dgm:t>
        <a:bodyPr/>
        <a:p>
          <a:pPr algn="ctr"/>
          <a:endParaRPr lang="zh-CN" altLang="en-US" sz="1000"/>
        </a:p>
      </dgm:t>
    </dgm:pt>
    <dgm:pt modelId="{81FF7A03-D349-4867-8CC1-A406A7F5F8A8}">
      <dgm:prSet phldrT="[文本]" custT="1"/>
      <dgm:spPr/>
      <dgm:t>
        <a:bodyPr/>
        <a:p>
          <a:pPr algn="ctr"/>
          <a:r>
            <a:rPr lang="zh-CN" altLang="en-US" sz="1000"/>
            <a:t>虚拟机运行状态</a:t>
          </a:r>
        </a:p>
      </dgm:t>
    </dgm:pt>
    <dgm:pt modelId="{5C0CB216-2F27-4F85-AE4B-5D751C8C5D09}" cxnId="{49970D5F-0800-43AE-B26A-61219B2967AB}" type="sibTrans">
      <dgm:prSet/>
      <dgm:spPr/>
      <dgm:t>
        <a:bodyPr/>
        <a:p>
          <a:pPr algn="ctr"/>
          <a:endParaRPr lang="zh-CN" altLang="en-US" sz="1000"/>
        </a:p>
      </dgm:t>
    </dgm:pt>
    <dgm:pt modelId="{13483CD8-6237-4CDC-AE88-BC3F1AD7C33B}" cxnId="{49970D5F-0800-43AE-B26A-61219B2967AB}" type="parTrans">
      <dgm:prSet/>
      <dgm:spPr/>
      <dgm:t>
        <a:bodyPr/>
        <a:p>
          <a:pPr algn="ctr"/>
          <a:endParaRPr lang="zh-CN" altLang="en-US" sz="1000"/>
        </a:p>
      </dgm:t>
    </dgm:pt>
    <dgm:pt modelId="{895714DC-8506-4A23-B05F-1BA4EF80BA43}">
      <dgm:prSet phldrT="[文本]" custT="1"/>
      <dgm:spPr/>
      <dgm:t>
        <a:bodyPr/>
        <a:p>
          <a:pPr algn="ctr"/>
          <a:r>
            <a:rPr lang="zh-CN" altLang="en-US" sz="1000"/>
            <a:t>内存硬件</a:t>
          </a:r>
        </a:p>
      </dgm:t>
    </dgm:pt>
    <dgm:pt modelId="{F9229030-CBE5-45EB-944F-47AB9925CB9C}" cxnId="{A735AE24-9F45-4F2C-ACFB-E00A7F1455DE}" type="parTrans">
      <dgm:prSet/>
      <dgm:spPr/>
      <dgm:t>
        <a:bodyPr/>
        <a:p>
          <a:pPr algn="ctr"/>
          <a:endParaRPr lang="zh-CN" altLang="en-US" sz="1000"/>
        </a:p>
      </dgm:t>
    </dgm:pt>
    <dgm:pt modelId="{D30A53C0-C311-44E7-9BEA-AF783649B9FA}" cxnId="{A735AE24-9F45-4F2C-ACFB-E00A7F1455DE}" type="sibTrans">
      <dgm:prSet/>
      <dgm:spPr/>
      <dgm:t>
        <a:bodyPr/>
        <a:p>
          <a:pPr algn="ctr"/>
          <a:endParaRPr lang="zh-CN" altLang="en-US" sz="1000"/>
        </a:p>
      </dgm:t>
    </dgm:pt>
    <dgm:pt modelId="{7915736E-329E-4389-B026-A4F6391953C3}">
      <dgm:prSet phldrT="[文本]" custT="1"/>
      <dgm:spPr/>
      <dgm:t>
        <a:bodyPr/>
        <a:p>
          <a:pPr algn="ctr"/>
          <a:r>
            <a:rPr lang="zh-CN" altLang="en-US" sz="1000"/>
            <a:t>物理磁盘</a:t>
          </a:r>
        </a:p>
      </dgm:t>
    </dgm:pt>
    <dgm:pt modelId="{67726A67-4DC9-4FFE-BFD6-09284ED8D04F}" cxnId="{B383CF6B-5C32-4896-8F26-D338BE86880E}" type="parTrans">
      <dgm:prSet/>
      <dgm:spPr/>
      <dgm:t>
        <a:bodyPr/>
        <a:p>
          <a:pPr algn="ctr"/>
          <a:endParaRPr lang="zh-CN" altLang="en-US" sz="1000"/>
        </a:p>
      </dgm:t>
    </dgm:pt>
    <dgm:pt modelId="{681D1C2F-27E3-45C0-AFB3-B1CDDA87E24F}" cxnId="{B383CF6B-5C32-4896-8F26-D338BE86880E}" type="sibTrans">
      <dgm:prSet/>
      <dgm:spPr/>
      <dgm:t>
        <a:bodyPr/>
        <a:p>
          <a:pPr algn="ctr"/>
          <a:endParaRPr lang="zh-CN" altLang="en-US" sz="1000"/>
        </a:p>
      </dgm:t>
    </dgm:pt>
    <dgm:pt modelId="{2E36FDFF-8735-4D6E-A9EC-EE14AD8CF192}">
      <dgm:prSet phldrT="[文本]" custT="1"/>
      <dgm:spPr/>
      <dgm:t>
        <a:bodyPr/>
        <a:p>
          <a:pPr algn="ctr"/>
          <a:r>
            <a:rPr lang="zh-CN" altLang="en-US" sz="1000"/>
            <a:t>逻辑磁盘</a:t>
          </a:r>
        </a:p>
      </dgm:t>
    </dgm:pt>
    <dgm:pt modelId="{4F543FE2-C417-4356-918C-29ADB87B70D7}" cxnId="{A35AFA4C-4092-455F-BE7F-FB0B305391AA}" type="parTrans">
      <dgm:prSet/>
      <dgm:spPr/>
      <dgm:t>
        <a:bodyPr/>
        <a:p>
          <a:pPr algn="ctr"/>
          <a:endParaRPr lang="zh-CN" altLang="en-US" sz="1000"/>
        </a:p>
      </dgm:t>
    </dgm:pt>
    <dgm:pt modelId="{E70857C7-5160-4FD8-9488-3BC2C835517A}" cxnId="{A35AFA4C-4092-455F-BE7F-FB0B305391AA}" type="sibTrans">
      <dgm:prSet/>
      <dgm:spPr/>
      <dgm:t>
        <a:bodyPr/>
        <a:p>
          <a:pPr algn="ctr"/>
          <a:endParaRPr lang="zh-CN" altLang="en-US" sz="1000"/>
        </a:p>
      </dgm:t>
    </dgm:pt>
    <dgm:pt modelId="{3C5817FF-9375-4208-95F4-926C0665C584}">
      <dgm:prSet phldrT="[文本]" custT="1"/>
      <dgm:spPr/>
      <dgm:t>
        <a:bodyPr/>
        <a:p>
          <a:pPr algn="ctr"/>
          <a:r>
            <a:rPr lang="zh-CN" altLang="en-US" sz="1000"/>
            <a:t>分布式存储资源利用率</a:t>
          </a:r>
        </a:p>
      </dgm:t>
    </dgm:pt>
    <dgm:pt modelId="{1442B3CE-9E8D-429B-85BF-51A0951F385E}" cxnId="{43209879-3454-44A3-BBA0-F366B804F872}" type="parTrans">
      <dgm:prSet/>
      <dgm:spPr/>
      <dgm:t>
        <a:bodyPr/>
        <a:p>
          <a:pPr algn="ctr"/>
          <a:endParaRPr lang="zh-CN" altLang="en-US" sz="1000"/>
        </a:p>
      </dgm:t>
    </dgm:pt>
    <dgm:pt modelId="{D09D3EA0-C8E9-4F0F-8F79-B660DCFA4A0D}" cxnId="{43209879-3454-44A3-BBA0-F366B804F872}" type="sibTrans">
      <dgm:prSet/>
      <dgm:spPr/>
      <dgm:t>
        <a:bodyPr/>
        <a:p>
          <a:pPr algn="ctr"/>
          <a:endParaRPr lang="zh-CN" altLang="en-US" sz="1000"/>
        </a:p>
      </dgm:t>
    </dgm:pt>
    <dgm:pt modelId="{0435002F-15A3-47A1-ACA9-DAA799329E5F}">
      <dgm:prSet phldrT="[文本]" custT="1"/>
      <dgm:spPr/>
      <dgm:t>
        <a:bodyPr/>
        <a:p>
          <a:pPr algn="ctr"/>
          <a:r>
            <a:rPr lang="zh-CN" altLang="en-US" sz="1000"/>
            <a:t>物理网卡</a:t>
          </a:r>
        </a:p>
      </dgm:t>
    </dgm:pt>
    <dgm:pt modelId="{120D8121-C2D3-4013-853A-BB72C191123E}" cxnId="{3D4AFA53-5A5F-4101-8D50-4AB499AC78A6}" type="parTrans">
      <dgm:prSet/>
      <dgm:spPr/>
      <dgm:t>
        <a:bodyPr/>
        <a:p>
          <a:pPr algn="ctr"/>
          <a:endParaRPr lang="zh-CN" altLang="en-US" sz="1000"/>
        </a:p>
      </dgm:t>
    </dgm:pt>
    <dgm:pt modelId="{F4B031F0-028D-4F65-9FBF-8A3231B9D90F}" cxnId="{3D4AFA53-5A5F-4101-8D50-4AB499AC78A6}" type="sibTrans">
      <dgm:prSet/>
      <dgm:spPr/>
      <dgm:t>
        <a:bodyPr/>
        <a:p>
          <a:pPr algn="ctr"/>
          <a:endParaRPr lang="zh-CN" altLang="en-US" sz="1000"/>
        </a:p>
      </dgm:t>
    </dgm:pt>
    <dgm:pt modelId="{16B12D21-F826-4D5D-B2F6-D14AB562B686}">
      <dgm:prSet phldrT="[文本]" custT="1"/>
      <dgm:spPr/>
      <dgm:t>
        <a:bodyPr/>
        <a:p>
          <a:pPr algn="ctr"/>
          <a:r>
            <a:rPr lang="en-US" altLang="zh-CN" sz="1000"/>
            <a:t>RAID</a:t>
          </a:r>
          <a:r>
            <a:rPr lang="zh-CN" altLang="en-US" sz="1000"/>
            <a:t>卡</a:t>
          </a:r>
        </a:p>
      </dgm:t>
    </dgm:pt>
    <dgm:pt modelId="{3B0C3C59-BAA9-4693-9F17-13205E3C4156}" cxnId="{68604FF0-D35A-4824-97E4-5E303D1ACA4D}" type="parTrans">
      <dgm:prSet/>
      <dgm:spPr/>
      <dgm:t>
        <a:bodyPr/>
        <a:p>
          <a:pPr algn="ctr"/>
          <a:endParaRPr lang="zh-CN" altLang="en-US" sz="1000"/>
        </a:p>
      </dgm:t>
    </dgm:pt>
    <dgm:pt modelId="{43F8792A-F7D7-4E98-82BE-0B290D6B4475}" cxnId="{68604FF0-D35A-4824-97E4-5E303D1ACA4D}" type="sibTrans">
      <dgm:prSet/>
      <dgm:spPr/>
      <dgm:t>
        <a:bodyPr/>
        <a:p>
          <a:pPr algn="ctr"/>
          <a:endParaRPr lang="zh-CN" altLang="en-US" sz="1000"/>
        </a:p>
      </dgm:t>
    </dgm:pt>
    <dgm:pt modelId="{0455ABD4-6FDA-4F5A-ABC4-F0BD38673F21}" type="pres">
      <dgm:prSet presAssocID="{8E283093-32A4-4B96-9DD9-96741F4250E2}" presName="hierChild1" presStyleCnt="0">
        <dgm:presLayoutVars>
          <dgm:orgChart val="1"/>
          <dgm:chPref val="1"/>
          <dgm:dir/>
          <dgm:animOne val="branch"/>
          <dgm:animLvl val="lvl"/>
          <dgm:resizeHandles/>
        </dgm:presLayoutVars>
      </dgm:prSet>
      <dgm:spPr/>
    </dgm:pt>
    <dgm:pt modelId="{2ED470C0-9B04-4B58-A984-FF7B871EC381}" type="pres">
      <dgm:prSet presAssocID="{EA1099C2-EBF6-4922-8478-563EFD1E5128}" presName="hierRoot1" presStyleCnt="0">
        <dgm:presLayoutVars>
          <dgm:hierBranch val="init"/>
        </dgm:presLayoutVars>
      </dgm:prSet>
      <dgm:spPr/>
    </dgm:pt>
    <dgm:pt modelId="{52DB0C86-258E-43CA-83C0-1440152EBCC3}" type="pres">
      <dgm:prSet presAssocID="{EA1099C2-EBF6-4922-8478-563EFD1E5128}" presName="rootComposite1" presStyleCnt="0"/>
      <dgm:spPr/>
    </dgm:pt>
    <dgm:pt modelId="{0AE86E30-06FE-4E2D-9C89-37197C6D2B29}" type="pres">
      <dgm:prSet presAssocID="{EA1099C2-EBF6-4922-8478-563EFD1E5128}" presName="rootText1" presStyleLbl="node0" presStyleIdx="0" presStyleCnt="1" custScaleX="197935">
        <dgm:presLayoutVars>
          <dgm:chPref val="3"/>
        </dgm:presLayoutVars>
      </dgm:prSet>
      <dgm:spPr/>
    </dgm:pt>
    <dgm:pt modelId="{70CCACD5-FC43-4DD6-B005-20D1774DD677}" type="pres">
      <dgm:prSet presAssocID="{EA1099C2-EBF6-4922-8478-563EFD1E5128}" presName="rootConnector1" presStyleLbl="node1" presStyleIdx="0" presStyleCnt="0"/>
      <dgm:spPr/>
    </dgm:pt>
    <dgm:pt modelId="{5CA9529B-DBDD-4C9A-B812-8D336E0CCC52}" type="pres">
      <dgm:prSet presAssocID="{EA1099C2-EBF6-4922-8478-563EFD1E5128}" presName="hierChild2" presStyleCnt="0"/>
      <dgm:spPr/>
    </dgm:pt>
    <dgm:pt modelId="{5B35775E-DAAE-415B-84FF-54EF53E2191F}" type="pres">
      <dgm:prSet presAssocID="{42C805C0-DF85-4B54-B26D-844A1BF16B1B}" presName="Name37" presStyleLbl="parChTrans1D2" presStyleIdx="0" presStyleCnt="5"/>
      <dgm:spPr/>
    </dgm:pt>
    <dgm:pt modelId="{1CBD8EC9-47B0-47C6-BD5B-A16A091A9E68}" type="pres">
      <dgm:prSet presAssocID="{1AFB6684-2615-4AFE-947F-BD1C41633B5C}" presName="hierRoot2" presStyleCnt="0">
        <dgm:presLayoutVars>
          <dgm:hierBranch val="init"/>
        </dgm:presLayoutVars>
      </dgm:prSet>
      <dgm:spPr/>
    </dgm:pt>
    <dgm:pt modelId="{04B5845D-B495-4D22-B6EE-12ECE295ABC2}" type="pres">
      <dgm:prSet presAssocID="{1AFB6684-2615-4AFE-947F-BD1C41633B5C}" presName="rootComposite" presStyleCnt="0"/>
      <dgm:spPr/>
    </dgm:pt>
    <dgm:pt modelId="{15D5A321-F15D-434C-8920-BC20B74C763F}" type="pres">
      <dgm:prSet presAssocID="{1AFB6684-2615-4AFE-947F-BD1C41633B5C}" presName="rootText" presStyleLbl="node2" presStyleIdx="0" presStyleCnt="5" custScaleX="152689">
        <dgm:presLayoutVars>
          <dgm:chPref val="3"/>
        </dgm:presLayoutVars>
      </dgm:prSet>
      <dgm:spPr/>
    </dgm:pt>
    <dgm:pt modelId="{4906DA2B-FBB3-410E-8D00-4F36EFC9C5AC}" type="pres">
      <dgm:prSet presAssocID="{1AFB6684-2615-4AFE-947F-BD1C41633B5C}" presName="rootConnector" presStyleLbl="node2" presStyleIdx="0" presStyleCnt="5"/>
      <dgm:spPr/>
    </dgm:pt>
    <dgm:pt modelId="{CE697748-6DF4-4815-8578-DF7C8739F614}" type="pres">
      <dgm:prSet presAssocID="{1AFB6684-2615-4AFE-947F-BD1C41633B5C}" presName="hierChild4" presStyleCnt="0"/>
      <dgm:spPr/>
    </dgm:pt>
    <dgm:pt modelId="{8023748C-B39E-4972-AF24-F0C77A821470}" type="pres">
      <dgm:prSet presAssocID="{1AFB6684-2615-4AFE-947F-BD1C41633B5C}" presName="hierChild5" presStyleCnt="0"/>
      <dgm:spPr/>
    </dgm:pt>
    <dgm:pt modelId="{F62A1C71-F3DB-48DF-AFCF-7727F2074097}" type="pres">
      <dgm:prSet presAssocID="{CB2D089B-61D4-4C5C-B160-6D9298E86451}" presName="Name37" presStyleLbl="parChTrans1D2" presStyleIdx="1" presStyleCnt="5"/>
      <dgm:spPr/>
    </dgm:pt>
    <dgm:pt modelId="{CE4C1D57-EEEA-40A4-A177-009BC207D914}" type="pres">
      <dgm:prSet presAssocID="{096D03D5-DE86-4AD5-9A49-B12B66E9E46C}" presName="hierRoot2" presStyleCnt="0">
        <dgm:presLayoutVars>
          <dgm:hierBranch val="init"/>
        </dgm:presLayoutVars>
      </dgm:prSet>
      <dgm:spPr/>
    </dgm:pt>
    <dgm:pt modelId="{9E2A6918-EA46-46F6-B4F4-3E33A951409E}" type="pres">
      <dgm:prSet presAssocID="{096D03D5-DE86-4AD5-9A49-B12B66E9E46C}" presName="rootComposite" presStyleCnt="0"/>
      <dgm:spPr/>
    </dgm:pt>
    <dgm:pt modelId="{68E0F6D3-BF63-4491-857F-52AADC5F2158}" type="pres">
      <dgm:prSet presAssocID="{096D03D5-DE86-4AD5-9A49-B12B66E9E46C}" presName="rootText" presStyleLbl="node2" presStyleIdx="1" presStyleCnt="5" custScaleX="137215">
        <dgm:presLayoutVars>
          <dgm:chPref val="3"/>
        </dgm:presLayoutVars>
      </dgm:prSet>
      <dgm:spPr/>
    </dgm:pt>
    <dgm:pt modelId="{2B7B0ADD-747A-4F9C-A6A7-3B1089C19F4D}" type="pres">
      <dgm:prSet presAssocID="{096D03D5-DE86-4AD5-9A49-B12B66E9E46C}" presName="rootConnector" presStyleLbl="node2" presStyleIdx="1" presStyleCnt="5"/>
      <dgm:spPr/>
    </dgm:pt>
    <dgm:pt modelId="{22E94DD1-FE8E-4754-ADBA-A433D44E2C04}" type="pres">
      <dgm:prSet presAssocID="{096D03D5-DE86-4AD5-9A49-B12B66E9E46C}" presName="hierChild4" presStyleCnt="0"/>
      <dgm:spPr/>
    </dgm:pt>
    <dgm:pt modelId="{CA563783-94E8-471C-BA0C-BB452DC9C262}" type="pres">
      <dgm:prSet presAssocID="{87777633-8E0C-48AB-8B79-7217BA570FAB}" presName="Name37" presStyleLbl="parChTrans1D3" presStyleIdx="0" presStyleCnt="19"/>
      <dgm:spPr/>
    </dgm:pt>
    <dgm:pt modelId="{3CC75E15-DC7C-4B88-8ADD-BA689CD781D4}" type="pres">
      <dgm:prSet presAssocID="{43476426-3466-40A4-A5AC-106ED74E27E2}" presName="hierRoot2" presStyleCnt="0">
        <dgm:presLayoutVars>
          <dgm:hierBranch val="init"/>
        </dgm:presLayoutVars>
      </dgm:prSet>
      <dgm:spPr/>
    </dgm:pt>
    <dgm:pt modelId="{A79BCF90-EC61-4528-904A-A9F381ED0607}" type="pres">
      <dgm:prSet presAssocID="{43476426-3466-40A4-A5AC-106ED74E27E2}" presName="rootComposite" presStyleCnt="0"/>
      <dgm:spPr/>
    </dgm:pt>
    <dgm:pt modelId="{719FFC00-67ED-4259-9901-A0AA8C8B47F4}" type="pres">
      <dgm:prSet presAssocID="{43476426-3466-40A4-A5AC-106ED74E27E2}" presName="rootText" presStyleLbl="node3" presStyleIdx="0" presStyleCnt="19" custScaleX="114527" custScaleY="113093">
        <dgm:presLayoutVars>
          <dgm:chPref val="3"/>
        </dgm:presLayoutVars>
      </dgm:prSet>
      <dgm:spPr/>
    </dgm:pt>
    <dgm:pt modelId="{46190AB5-6B7D-4545-B8D1-BB588F6E928E}" type="pres">
      <dgm:prSet presAssocID="{43476426-3466-40A4-A5AC-106ED74E27E2}" presName="rootConnector" presStyleLbl="node3" presStyleIdx="0" presStyleCnt="19"/>
      <dgm:spPr/>
    </dgm:pt>
    <dgm:pt modelId="{6CBD98C8-5490-4F9E-90E2-38BCA2B5E9D0}" type="pres">
      <dgm:prSet presAssocID="{43476426-3466-40A4-A5AC-106ED74E27E2}" presName="hierChild4" presStyleCnt="0"/>
      <dgm:spPr/>
    </dgm:pt>
    <dgm:pt modelId="{7297FC7E-4C0D-4903-931D-816FECEEA465}" type="pres">
      <dgm:prSet presAssocID="{43476426-3466-40A4-A5AC-106ED74E27E2}" presName="hierChild5" presStyleCnt="0"/>
      <dgm:spPr/>
    </dgm:pt>
    <dgm:pt modelId="{90B2644C-4D37-4856-89F4-2850D7134091}" type="pres">
      <dgm:prSet presAssocID="{096D03D5-DE86-4AD5-9A49-B12B66E9E46C}" presName="hierChild5" presStyleCnt="0"/>
      <dgm:spPr/>
    </dgm:pt>
    <dgm:pt modelId="{C4F37858-3F2E-4257-8C4B-029745AEC4D1}" type="pres">
      <dgm:prSet presAssocID="{6C871142-CE56-43CB-AEB8-1FEA60594B4A}" presName="Name37" presStyleLbl="parChTrans1D2" presStyleIdx="2" presStyleCnt="5"/>
      <dgm:spPr/>
    </dgm:pt>
    <dgm:pt modelId="{101F35F7-039F-4211-979D-3C96C1A7C67A}" type="pres">
      <dgm:prSet presAssocID="{FF1924B3-1A83-4453-AB7F-26286B10289A}" presName="hierRoot2" presStyleCnt="0">
        <dgm:presLayoutVars>
          <dgm:hierBranch val="init"/>
        </dgm:presLayoutVars>
      </dgm:prSet>
      <dgm:spPr/>
    </dgm:pt>
    <dgm:pt modelId="{3CC66828-CD6A-42E5-9613-CFF28B770A10}" type="pres">
      <dgm:prSet presAssocID="{FF1924B3-1A83-4453-AB7F-26286B10289A}" presName="rootComposite" presStyleCnt="0"/>
      <dgm:spPr/>
    </dgm:pt>
    <dgm:pt modelId="{49B89AF1-97DD-47C1-BC7A-C7AA47A3E051}" type="pres">
      <dgm:prSet presAssocID="{FF1924B3-1A83-4453-AB7F-26286B10289A}" presName="rootText" presStyleLbl="node2" presStyleIdx="2" presStyleCnt="5" custScaleX="186933">
        <dgm:presLayoutVars>
          <dgm:chPref val="3"/>
        </dgm:presLayoutVars>
      </dgm:prSet>
      <dgm:spPr/>
    </dgm:pt>
    <dgm:pt modelId="{70A454C8-0610-473B-991F-2665A23794BB}" type="pres">
      <dgm:prSet presAssocID="{FF1924B3-1A83-4453-AB7F-26286B10289A}" presName="rootConnector" presStyleLbl="node2" presStyleIdx="2" presStyleCnt="5"/>
      <dgm:spPr/>
    </dgm:pt>
    <dgm:pt modelId="{FC3BD64D-A1AE-42B8-9388-B871A2A580FE}" type="pres">
      <dgm:prSet presAssocID="{FF1924B3-1A83-4453-AB7F-26286B10289A}" presName="hierChild4" presStyleCnt="0"/>
      <dgm:spPr/>
    </dgm:pt>
    <dgm:pt modelId="{EC10F496-1CBC-4773-A817-DDDE8531B86E}" type="pres">
      <dgm:prSet presAssocID="{BCCC9C7F-ECD1-4478-BE23-560985E9D02A}" presName="Name37" presStyleLbl="parChTrans1D3" presStyleIdx="1" presStyleCnt="19"/>
      <dgm:spPr/>
    </dgm:pt>
    <dgm:pt modelId="{BFDAAA8C-8F1C-40D5-B40B-D42FA37D39B6}" type="pres">
      <dgm:prSet presAssocID="{019D9886-FE21-4042-BD8C-1E610498E706}" presName="hierRoot2" presStyleCnt="0">
        <dgm:presLayoutVars>
          <dgm:hierBranch val="init"/>
        </dgm:presLayoutVars>
      </dgm:prSet>
      <dgm:spPr/>
    </dgm:pt>
    <dgm:pt modelId="{206DF9A2-85FF-436F-87DB-4A4BC8977FBA}" type="pres">
      <dgm:prSet presAssocID="{019D9886-FE21-4042-BD8C-1E610498E706}" presName="rootComposite" presStyleCnt="0"/>
      <dgm:spPr/>
    </dgm:pt>
    <dgm:pt modelId="{47483285-30C6-4570-A940-1E51515E46B3}" type="pres">
      <dgm:prSet presAssocID="{019D9886-FE21-4042-BD8C-1E610498E706}" presName="rootText" presStyleLbl="node3" presStyleIdx="1" presStyleCnt="19" custScaleX="116536" custScaleY="138801">
        <dgm:presLayoutVars>
          <dgm:chPref val="3"/>
        </dgm:presLayoutVars>
      </dgm:prSet>
      <dgm:spPr/>
    </dgm:pt>
    <dgm:pt modelId="{2A09611D-DD36-4378-9ACC-B315EC6CD6B1}" type="pres">
      <dgm:prSet presAssocID="{019D9886-FE21-4042-BD8C-1E610498E706}" presName="rootConnector" presStyleLbl="node3" presStyleIdx="1" presStyleCnt="19"/>
      <dgm:spPr/>
    </dgm:pt>
    <dgm:pt modelId="{BAD8B752-202F-4B3B-96BF-FB8F853BA781}" type="pres">
      <dgm:prSet presAssocID="{019D9886-FE21-4042-BD8C-1E610498E706}" presName="hierChild4" presStyleCnt="0"/>
      <dgm:spPr/>
    </dgm:pt>
    <dgm:pt modelId="{761FDD95-8C72-43C6-A771-1F2159A1698C}" type="pres">
      <dgm:prSet presAssocID="{019D9886-FE21-4042-BD8C-1E610498E706}" presName="hierChild5" presStyleCnt="0"/>
      <dgm:spPr/>
    </dgm:pt>
    <dgm:pt modelId="{4B7D7BC3-86F9-4A21-AAE0-26BE3A2E39FD}" type="pres">
      <dgm:prSet presAssocID="{97F155F0-E427-4481-A586-C73E9B07A7E2}" presName="Name37" presStyleLbl="parChTrans1D3" presStyleIdx="2" presStyleCnt="19"/>
      <dgm:spPr/>
    </dgm:pt>
    <dgm:pt modelId="{5CBCF343-7979-45AC-B9A2-6EAE587B118E}" type="pres">
      <dgm:prSet presAssocID="{69E3CF74-11BB-468A-B19C-06BB5555AF25}" presName="hierRoot2" presStyleCnt="0">
        <dgm:presLayoutVars>
          <dgm:hierBranch val="init"/>
        </dgm:presLayoutVars>
      </dgm:prSet>
      <dgm:spPr/>
    </dgm:pt>
    <dgm:pt modelId="{B4814CC3-AB6D-4959-A3B9-3F4EECB246D4}" type="pres">
      <dgm:prSet presAssocID="{69E3CF74-11BB-468A-B19C-06BB5555AF25}" presName="rootComposite" presStyleCnt="0"/>
      <dgm:spPr/>
    </dgm:pt>
    <dgm:pt modelId="{D4103C60-95B9-4278-973A-4CA83D5F3C23}" type="pres">
      <dgm:prSet presAssocID="{69E3CF74-11BB-468A-B19C-06BB5555AF25}" presName="rootText" presStyleLbl="node3" presStyleIdx="2" presStyleCnt="19" custScaleX="132800" custScaleY="124008">
        <dgm:presLayoutVars>
          <dgm:chPref val="3"/>
        </dgm:presLayoutVars>
      </dgm:prSet>
      <dgm:spPr/>
    </dgm:pt>
    <dgm:pt modelId="{7B5D60F8-1563-4E59-B150-3195B6B461AB}" type="pres">
      <dgm:prSet presAssocID="{69E3CF74-11BB-468A-B19C-06BB5555AF25}" presName="rootConnector" presStyleLbl="node3" presStyleIdx="2" presStyleCnt="19"/>
      <dgm:spPr/>
    </dgm:pt>
    <dgm:pt modelId="{FD014A51-7809-4CC9-BC16-A1DE1980FEFF}" type="pres">
      <dgm:prSet presAssocID="{69E3CF74-11BB-468A-B19C-06BB5555AF25}" presName="hierChild4" presStyleCnt="0"/>
      <dgm:spPr/>
    </dgm:pt>
    <dgm:pt modelId="{C53DD30E-3C84-45D0-B2F9-CDF125859DB9}" type="pres">
      <dgm:prSet presAssocID="{69E3CF74-11BB-468A-B19C-06BB5555AF25}" presName="hierChild5" presStyleCnt="0"/>
      <dgm:spPr/>
    </dgm:pt>
    <dgm:pt modelId="{DF3C2526-65A4-4E0E-B15E-50150D0378DC}" type="pres">
      <dgm:prSet presAssocID="{769D7B1E-57CC-4419-A8C3-264566AF0356}" presName="Name37" presStyleLbl="parChTrans1D3" presStyleIdx="3" presStyleCnt="19"/>
      <dgm:spPr/>
    </dgm:pt>
    <dgm:pt modelId="{3C486556-5D1B-450F-8965-0FD1B34734E9}" type="pres">
      <dgm:prSet presAssocID="{A4D7EA2D-FD3B-4339-A0E3-052C4EC4BFD6}" presName="hierRoot2" presStyleCnt="0">
        <dgm:presLayoutVars>
          <dgm:hierBranch val="init"/>
        </dgm:presLayoutVars>
      </dgm:prSet>
      <dgm:spPr/>
    </dgm:pt>
    <dgm:pt modelId="{2A8BF4FE-04FB-4B53-B450-8E8DC47BCE37}" type="pres">
      <dgm:prSet presAssocID="{A4D7EA2D-FD3B-4339-A0E3-052C4EC4BFD6}" presName="rootComposite" presStyleCnt="0"/>
      <dgm:spPr/>
    </dgm:pt>
    <dgm:pt modelId="{A7DC2473-0E1A-477C-8419-9E0CE8623E58}" type="pres">
      <dgm:prSet presAssocID="{A4D7EA2D-FD3B-4339-A0E3-052C4EC4BFD6}" presName="rootText" presStyleLbl="node3" presStyleIdx="3" presStyleCnt="19" custScaleX="136083" custScaleY="142046">
        <dgm:presLayoutVars>
          <dgm:chPref val="3"/>
        </dgm:presLayoutVars>
      </dgm:prSet>
      <dgm:spPr/>
    </dgm:pt>
    <dgm:pt modelId="{350EDFBE-8956-41F0-BDD9-C57085E390FA}" type="pres">
      <dgm:prSet presAssocID="{A4D7EA2D-FD3B-4339-A0E3-052C4EC4BFD6}" presName="rootConnector" presStyleLbl="node3" presStyleIdx="3" presStyleCnt="19"/>
      <dgm:spPr/>
    </dgm:pt>
    <dgm:pt modelId="{7D219FBC-674E-4D3F-9965-3DCCC8CE49E2}" type="pres">
      <dgm:prSet presAssocID="{A4D7EA2D-FD3B-4339-A0E3-052C4EC4BFD6}" presName="hierChild4" presStyleCnt="0"/>
      <dgm:spPr/>
    </dgm:pt>
    <dgm:pt modelId="{472A3949-C21D-4386-A836-A71827C034E2}" type="pres">
      <dgm:prSet presAssocID="{A4D7EA2D-FD3B-4339-A0E3-052C4EC4BFD6}" presName="hierChild5" presStyleCnt="0"/>
      <dgm:spPr/>
    </dgm:pt>
    <dgm:pt modelId="{EF75A677-BEFE-43F8-B8D3-531BE0301C38}" type="pres">
      <dgm:prSet presAssocID="{534D3E5E-665D-40CB-A2BB-F818B87C824C}" presName="Name37" presStyleLbl="parChTrans1D3" presStyleIdx="4" presStyleCnt="19"/>
      <dgm:spPr/>
    </dgm:pt>
    <dgm:pt modelId="{901D092A-3184-41B8-8B07-B4D239374A7A}" type="pres">
      <dgm:prSet presAssocID="{B1452405-E130-42BD-87D9-11A6B8C65741}" presName="hierRoot2" presStyleCnt="0">
        <dgm:presLayoutVars>
          <dgm:hierBranch val="init"/>
        </dgm:presLayoutVars>
      </dgm:prSet>
      <dgm:spPr/>
    </dgm:pt>
    <dgm:pt modelId="{EEFADC2B-7EFF-4541-B5F6-2536E143071C}" type="pres">
      <dgm:prSet presAssocID="{B1452405-E130-42BD-87D9-11A6B8C65741}" presName="rootComposite" presStyleCnt="0"/>
      <dgm:spPr/>
    </dgm:pt>
    <dgm:pt modelId="{6054E834-8112-4BF6-AC92-17639A640AEF}" type="pres">
      <dgm:prSet presAssocID="{B1452405-E130-42BD-87D9-11A6B8C65741}" presName="rootText" presStyleLbl="node3" presStyleIdx="4" presStyleCnt="19" custScaleX="134241" custScaleY="121092">
        <dgm:presLayoutVars>
          <dgm:chPref val="3"/>
        </dgm:presLayoutVars>
      </dgm:prSet>
      <dgm:spPr/>
    </dgm:pt>
    <dgm:pt modelId="{872AC66D-5BAE-499E-ADC5-0D9341EAE656}" type="pres">
      <dgm:prSet presAssocID="{B1452405-E130-42BD-87D9-11A6B8C65741}" presName="rootConnector" presStyleLbl="node3" presStyleIdx="4" presStyleCnt="19"/>
      <dgm:spPr/>
    </dgm:pt>
    <dgm:pt modelId="{42D46DB3-CFE6-487A-B50A-D1B636657578}" type="pres">
      <dgm:prSet presAssocID="{B1452405-E130-42BD-87D9-11A6B8C65741}" presName="hierChild4" presStyleCnt="0"/>
      <dgm:spPr/>
    </dgm:pt>
    <dgm:pt modelId="{BFAB863A-BB94-469D-B8DD-B46F2FD5CA4C}" type="pres">
      <dgm:prSet presAssocID="{B1452405-E130-42BD-87D9-11A6B8C65741}" presName="hierChild5" presStyleCnt="0"/>
      <dgm:spPr/>
    </dgm:pt>
    <dgm:pt modelId="{46785927-9F93-4267-81E0-D8D2A2E69A5A}" type="pres">
      <dgm:prSet presAssocID="{49605F3F-BD6B-4765-A7D7-7F7989E8D7B0}" presName="Name37" presStyleLbl="parChTrans1D3" presStyleIdx="5" presStyleCnt="19"/>
      <dgm:spPr/>
    </dgm:pt>
    <dgm:pt modelId="{58D4C42C-4F01-4CA9-9667-9B464234A930}" type="pres">
      <dgm:prSet presAssocID="{7619B696-88D0-4B84-917F-823CA56F643C}" presName="hierRoot2" presStyleCnt="0">
        <dgm:presLayoutVars>
          <dgm:hierBranch val="init"/>
        </dgm:presLayoutVars>
      </dgm:prSet>
      <dgm:spPr/>
    </dgm:pt>
    <dgm:pt modelId="{4ACEB57D-1B24-4EDC-8A49-3F6FEE10A843}" type="pres">
      <dgm:prSet presAssocID="{7619B696-88D0-4B84-917F-823CA56F643C}" presName="rootComposite" presStyleCnt="0"/>
      <dgm:spPr/>
    </dgm:pt>
    <dgm:pt modelId="{2838B24C-0341-47FD-B61F-FC388FD5A058}" type="pres">
      <dgm:prSet presAssocID="{7619B696-88D0-4B84-917F-823CA56F643C}" presName="rootText" presStyleLbl="node3" presStyleIdx="5" presStyleCnt="19">
        <dgm:presLayoutVars>
          <dgm:chPref val="3"/>
        </dgm:presLayoutVars>
      </dgm:prSet>
      <dgm:spPr/>
    </dgm:pt>
    <dgm:pt modelId="{1CCE46DA-7A0C-4F87-9D06-A511BC6267C0}" type="pres">
      <dgm:prSet presAssocID="{7619B696-88D0-4B84-917F-823CA56F643C}" presName="rootConnector" presStyleLbl="node3" presStyleIdx="5" presStyleCnt="19"/>
      <dgm:spPr/>
    </dgm:pt>
    <dgm:pt modelId="{1DFEB1E7-BCDF-4C5E-B87D-388EE0EED96E}" type="pres">
      <dgm:prSet presAssocID="{7619B696-88D0-4B84-917F-823CA56F643C}" presName="hierChild4" presStyleCnt="0"/>
      <dgm:spPr/>
    </dgm:pt>
    <dgm:pt modelId="{5C21BB93-D7C1-4EEB-8695-3E14731602A3}" type="pres">
      <dgm:prSet presAssocID="{7619B696-88D0-4B84-917F-823CA56F643C}" presName="hierChild5" presStyleCnt="0"/>
      <dgm:spPr/>
    </dgm:pt>
    <dgm:pt modelId="{39EBA711-0857-4E98-B0EB-049C94ED6786}" type="pres">
      <dgm:prSet presAssocID="{13483CD8-6237-4CDC-AE88-BC3F1AD7C33B}" presName="Name37" presStyleLbl="parChTrans1D3" presStyleIdx="6" presStyleCnt="19"/>
      <dgm:spPr/>
    </dgm:pt>
    <dgm:pt modelId="{66309EFB-F83F-4155-B129-83DD8A97AFFD}" type="pres">
      <dgm:prSet presAssocID="{81FF7A03-D349-4867-8CC1-A406A7F5F8A8}" presName="hierRoot2" presStyleCnt="0">
        <dgm:presLayoutVars>
          <dgm:hierBranch val="init"/>
        </dgm:presLayoutVars>
      </dgm:prSet>
      <dgm:spPr/>
    </dgm:pt>
    <dgm:pt modelId="{7EF46AF7-118A-4AAB-8C09-F3CCEA77DD41}" type="pres">
      <dgm:prSet presAssocID="{81FF7A03-D349-4867-8CC1-A406A7F5F8A8}" presName="rootComposite" presStyleCnt="0"/>
      <dgm:spPr/>
    </dgm:pt>
    <dgm:pt modelId="{397787AF-C5C9-4F96-BF64-364D6F950985}" type="pres">
      <dgm:prSet presAssocID="{81FF7A03-D349-4867-8CC1-A406A7F5F8A8}" presName="rootText" presStyleLbl="node3" presStyleIdx="6" presStyleCnt="19" custScaleX="132830" custScaleY="139020">
        <dgm:presLayoutVars>
          <dgm:chPref val="3"/>
        </dgm:presLayoutVars>
      </dgm:prSet>
      <dgm:spPr/>
    </dgm:pt>
    <dgm:pt modelId="{1A82A35E-DB20-42E7-9B46-1C785AC1C197}" type="pres">
      <dgm:prSet presAssocID="{81FF7A03-D349-4867-8CC1-A406A7F5F8A8}" presName="rootConnector" presStyleLbl="node3" presStyleIdx="6" presStyleCnt="19"/>
      <dgm:spPr/>
    </dgm:pt>
    <dgm:pt modelId="{263C4CC2-5825-4ED9-A591-E605D0FC33BB}" type="pres">
      <dgm:prSet presAssocID="{81FF7A03-D349-4867-8CC1-A406A7F5F8A8}" presName="hierChild4" presStyleCnt="0"/>
      <dgm:spPr/>
    </dgm:pt>
    <dgm:pt modelId="{355D2003-E1A9-47A8-8582-73E01A41A484}" type="pres">
      <dgm:prSet presAssocID="{81FF7A03-D349-4867-8CC1-A406A7F5F8A8}" presName="hierChild5" presStyleCnt="0"/>
      <dgm:spPr/>
    </dgm:pt>
    <dgm:pt modelId="{6CE19351-B51D-4583-B704-4DBA709F745A}" type="pres">
      <dgm:prSet presAssocID="{FF1924B3-1A83-4453-AB7F-26286B10289A}" presName="hierChild5" presStyleCnt="0"/>
      <dgm:spPr/>
    </dgm:pt>
    <dgm:pt modelId="{54A120E2-85BE-45D1-88D1-8DBDDB17D71A}" type="pres">
      <dgm:prSet presAssocID="{F623CCE9-A988-4C28-979D-7B1893B75839}" presName="Name37" presStyleLbl="parChTrans1D2" presStyleIdx="3" presStyleCnt="5"/>
      <dgm:spPr/>
    </dgm:pt>
    <dgm:pt modelId="{BB4EB009-2A13-4E8E-BE7C-B21FF891D486}" type="pres">
      <dgm:prSet presAssocID="{9F0F5E32-C699-483C-9528-87F9B4D7C1AC}" presName="hierRoot2" presStyleCnt="0">
        <dgm:presLayoutVars>
          <dgm:hierBranch val="init"/>
        </dgm:presLayoutVars>
      </dgm:prSet>
      <dgm:spPr/>
    </dgm:pt>
    <dgm:pt modelId="{18AD501B-F1B5-4975-9F57-5C48E0BCAED6}" type="pres">
      <dgm:prSet presAssocID="{9F0F5E32-C699-483C-9528-87F9B4D7C1AC}" presName="rootComposite" presStyleCnt="0"/>
      <dgm:spPr/>
    </dgm:pt>
    <dgm:pt modelId="{71C759E5-A01F-4DD1-A0A1-86AFA232F979}" type="pres">
      <dgm:prSet presAssocID="{9F0F5E32-C699-483C-9528-87F9B4D7C1AC}" presName="rootText" presStyleLbl="node2" presStyleIdx="3" presStyleCnt="5" custScaleX="191525">
        <dgm:presLayoutVars>
          <dgm:chPref val="3"/>
        </dgm:presLayoutVars>
      </dgm:prSet>
      <dgm:spPr/>
    </dgm:pt>
    <dgm:pt modelId="{5CAF2817-11EB-4CBC-BFF1-ACF2F1B89787}" type="pres">
      <dgm:prSet presAssocID="{9F0F5E32-C699-483C-9528-87F9B4D7C1AC}" presName="rootConnector" presStyleLbl="node2" presStyleIdx="3" presStyleCnt="5"/>
      <dgm:spPr/>
    </dgm:pt>
    <dgm:pt modelId="{9798B751-F908-42D6-8384-29D19E0BF8F4}" type="pres">
      <dgm:prSet presAssocID="{9F0F5E32-C699-483C-9528-87F9B4D7C1AC}" presName="hierChild4" presStyleCnt="0"/>
      <dgm:spPr/>
    </dgm:pt>
    <dgm:pt modelId="{4EA13DF4-D5D8-4E3E-A641-06C600C22FA8}" type="pres">
      <dgm:prSet presAssocID="{59A5CF65-2CDF-4C2E-8D78-20E1664B296B}" presName="Name37" presStyleLbl="parChTrans1D3" presStyleIdx="7" presStyleCnt="19"/>
      <dgm:spPr/>
    </dgm:pt>
    <dgm:pt modelId="{654C9546-E40A-47C8-A60D-397BDE5FCB8E}" type="pres">
      <dgm:prSet presAssocID="{16030DE0-627D-4AC5-A880-7205884349E4}" presName="hierRoot2" presStyleCnt="0">
        <dgm:presLayoutVars>
          <dgm:hierBranch val="init"/>
        </dgm:presLayoutVars>
      </dgm:prSet>
      <dgm:spPr/>
    </dgm:pt>
    <dgm:pt modelId="{F5357623-9D3B-4831-BF9A-F20554B7E2CE}" type="pres">
      <dgm:prSet presAssocID="{16030DE0-627D-4AC5-A880-7205884349E4}" presName="rootComposite" presStyleCnt="0"/>
      <dgm:spPr/>
    </dgm:pt>
    <dgm:pt modelId="{8043AE37-95B8-4F0C-B378-765FBFED8EA1}" type="pres">
      <dgm:prSet presAssocID="{16030DE0-627D-4AC5-A880-7205884349E4}" presName="rootText" presStyleLbl="node3" presStyleIdx="7" presStyleCnt="19" custScaleX="125796" custScaleY="141070">
        <dgm:presLayoutVars>
          <dgm:chPref val="3"/>
        </dgm:presLayoutVars>
      </dgm:prSet>
      <dgm:spPr/>
    </dgm:pt>
    <dgm:pt modelId="{EA2B60CC-09AE-489D-B64D-FB35E3B315EB}" type="pres">
      <dgm:prSet presAssocID="{16030DE0-627D-4AC5-A880-7205884349E4}" presName="rootConnector" presStyleLbl="node3" presStyleIdx="7" presStyleCnt="19"/>
      <dgm:spPr/>
    </dgm:pt>
    <dgm:pt modelId="{3F3D946A-2291-495D-889A-2F3A1F2B1733}" type="pres">
      <dgm:prSet presAssocID="{16030DE0-627D-4AC5-A880-7205884349E4}" presName="hierChild4" presStyleCnt="0"/>
      <dgm:spPr/>
    </dgm:pt>
    <dgm:pt modelId="{E03ADD25-259C-4C47-BA29-C55052E9365D}" type="pres">
      <dgm:prSet presAssocID="{16030DE0-627D-4AC5-A880-7205884349E4}" presName="hierChild5" presStyleCnt="0"/>
      <dgm:spPr/>
    </dgm:pt>
    <dgm:pt modelId="{A434E2FC-011A-488D-90DB-A67C266CB62A}" type="pres">
      <dgm:prSet presAssocID="{77D26BE7-E107-4C4B-9C61-D0E38611F73C}" presName="Name37" presStyleLbl="parChTrans1D3" presStyleIdx="8" presStyleCnt="19"/>
      <dgm:spPr/>
    </dgm:pt>
    <dgm:pt modelId="{0EFC5642-F47A-4655-9D5E-52E1293391ED}" type="pres">
      <dgm:prSet presAssocID="{946ACC72-FFFB-46CE-A41E-4C1F595731CB}" presName="hierRoot2" presStyleCnt="0">
        <dgm:presLayoutVars>
          <dgm:hierBranch val="init"/>
        </dgm:presLayoutVars>
      </dgm:prSet>
      <dgm:spPr/>
    </dgm:pt>
    <dgm:pt modelId="{EF0C5E6B-FFC0-42C7-96B0-05D95DDA6C1C}" type="pres">
      <dgm:prSet presAssocID="{946ACC72-FFFB-46CE-A41E-4C1F595731CB}" presName="rootComposite" presStyleCnt="0"/>
      <dgm:spPr/>
    </dgm:pt>
    <dgm:pt modelId="{A89C2EC7-FA44-4184-B2D4-86E451C0AB8C}" type="pres">
      <dgm:prSet presAssocID="{946ACC72-FFFB-46CE-A41E-4C1F595731CB}" presName="rootText" presStyleLbl="node3" presStyleIdx="8" presStyleCnt="19" custScaleX="117004" custScaleY="121827">
        <dgm:presLayoutVars>
          <dgm:chPref val="3"/>
        </dgm:presLayoutVars>
      </dgm:prSet>
      <dgm:spPr/>
    </dgm:pt>
    <dgm:pt modelId="{A8D484FE-4C5C-41DB-BC95-1EC688C91D00}" type="pres">
      <dgm:prSet presAssocID="{946ACC72-FFFB-46CE-A41E-4C1F595731CB}" presName="rootConnector" presStyleLbl="node3" presStyleIdx="8" presStyleCnt="19"/>
      <dgm:spPr/>
    </dgm:pt>
    <dgm:pt modelId="{11DF1D4B-86E0-4FF7-BB2A-9395A6CF2A71}" type="pres">
      <dgm:prSet presAssocID="{946ACC72-FFFB-46CE-A41E-4C1F595731CB}" presName="hierChild4" presStyleCnt="0"/>
      <dgm:spPr/>
    </dgm:pt>
    <dgm:pt modelId="{7F4CCAF1-B262-4E33-9B8B-6C8A294D9FD2}" type="pres">
      <dgm:prSet presAssocID="{946ACC72-FFFB-46CE-A41E-4C1F595731CB}" presName="hierChild5" presStyleCnt="0"/>
      <dgm:spPr/>
    </dgm:pt>
    <dgm:pt modelId="{D25F950A-D266-41E0-8B8B-DE3B414A00EB}" type="pres">
      <dgm:prSet presAssocID="{27345A43-B8F0-4418-8AE7-0BAB69061B16}" presName="Name37" presStyleLbl="parChTrans1D3" presStyleIdx="9" presStyleCnt="19"/>
      <dgm:spPr/>
    </dgm:pt>
    <dgm:pt modelId="{0D0EB13D-BB78-45EC-A21A-DEAE71CD4C30}" type="pres">
      <dgm:prSet presAssocID="{98B656AC-4328-414F-B03D-2A12E591144D}" presName="hierRoot2" presStyleCnt="0">
        <dgm:presLayoutVars>
          <dgm:hierBranch val="init"/>
        </dgm:presLayoutVars>
      </dgm:prSet>
      <dgm:spPr/>
    </dgm:pt>
    <dgm:pt modelId="{359D768B-CF4C-490C-A57C-2DE337CBEBD8}" type="pres">
      <dgm:prSet presAssocID="{98B656AC-4328-414F-B03D-2A12E591144D}" presName="rootComposite" presStyleCnt="0"/>
      <dgm:spPr/>
    </dgm:pt>
    <dgm:pt modelId="{468AF7AA-E455-443E-B9C1-6C67E9DC9CF2}" type="pres">
      <dgm:prSet presAssocID="{98B656AC-4328-414F-B03D-2A12E591144D}" presName="rootText" presStyleLbl="node3" presStyleIdx="9" presStyleCnt="19" custScaleX="118994" custScaleY="140812">
        <dgm:presLayoutVars>
          <dgm:chPref val="3"/>
        </dgm:presLayoutVars>
      </dgm:prSet>
      <dgm:spPr/>
    </dgm:pt>
    <dgm:pt modelId="{7838E614-A789-45DC-B44A-D0531A9DB281}" type="pres">
      <dgm:prSet presAssocID="{98B656AC-4328-414F-B03D-2A12E591144D}" presName="rootConnector" presStyleLbl="node3" presStyleIdx="9" presStyleCnt="19"/>
      <dgm:spPr/>
    </dgm:pt>
    <dgm:pt modelId="{7EF8C513-EF99-457D-9D47-B1BC5428A59E}" type="pres">
      <dgm:prSet presAssocID="{98B656AC-4328-414F-B03D-2A12E591144D}" presName="hierChild4" presStyleCnt="0"/>
      <dgm:spPr/>
    </dgm:pt>
    <dgm:pt modelId="{4D46402A-775D-4FB4-8E71-A96708C59CFF}" type="pres">
      <dgm:prSet presAssocID="{98B656AC-4328-414F-B03D-2A12E591144D}" presName="hierChild5" presStyleCnt="0"/>
      <dgm:spPr/>
    </dgm:pt>
    <dgm:pt modelId="{30B696BC-FEC8-49CF-B27C-034B7BE5DB3E}" type="pres">
      <dgm:prSet presAssocID="{E3C0A578-CD3D-426B-BE82-14D8CCD84311}" presName="Name37" presStyleLbl="parChTrans1D3" presStyleIdx="10" presStyleCnt="19"/>
      <dgm:spPr/>
    </dgm:pt>
    <dgm:pt modelId="{B96AD477-A280-41FC-BE92-26649032D38D}" type="pres">
      <dgm:prSet presAssocID="{DBCEFC0D-4A74-454F-80B7-88B53E62673B}" presName="hierRoot2" presStyleCnt="0">
        <dgm:presLayoutVars>
          <dgm:hierBranch val="init"/>
        </dgm:presLayoutVars>
      </dgm:prSet>
      <dgm:spPr/>
    </dgm:pt>
    <dgm:pt modelId="{9ED34F27-4389-4A84-85A8-E23730D57898}" type="pres">
      <dgm:prSet presAssocID="{DBCEFC0D-4A74-454F-80B7-88B53E62673B}" presName="rootComposite" presStyleCnt="0"/>
      <dgm:spPr/>
    </dgm:pt>
    <dgm:pt modelId="{7A441A33-DE78-432A-903D-2C2077868252}" type="pres">
      <dgm:prSet presAssocID="{DBCEFC0D-4A74-454F-80B7-88B53E62673B}" presName="rootText" presStyleLbl="node3" presStyleIdx="10" presStyleCnt="19" custScaleX="135348" custScaleY="120688">
        <dgm:presLayoutVars>
          <dgm:chPref val="3"/>
        </dgm:presLayoutVars>
      </dgm:prSet>
      <dgm:spPr/>
    </dgm:pt>
    <dgm:pt modelId="{FBD61323-BDAC-448A-AF1D-AFB895C8A5B2}" type="pres">
      <dgm:prSet presAssocID="{DBCEFC0D-4A74-454F-80B7-88B53E62673B}" presName="rootConnector" presStyleLbl="node3" presStyleIdx="10" presStyleCnt="19"/>
      <dgm:spPr/>
    </dgm:pt>
    <dgm:pt modelId="{4A17C4D4-783B-425E-938F-861CE9B03A24}" type="pres">
      <dgm:prSet presAssocID="{DBCEFC0D-4A74-454F-80B7-88B53E62673B}" presName="hierChild4" presStyleCnt="0"/>
      <dgm:spPr/>
    </dgm:pt>
    <dgm:pt modelId="{CCC6067A-BCC9-4040-AC3E-F83E7B632646}" type="pres">
      <dgm:prSet presAssocID="{DBCEFC0D-4A74-454F-80B7-88B53E62673B}" presName="hierChild5" presStyleCnt="0"/>
      <dgm:spPr/>
    </dgm:pt>
    <dgm:pt modelId="{276C1CC1-7F0C-4CC3-AEC3-CBD756171566}" type="pres">
      <dgm:prSet presAssocID="{DFDC00F3-4ADB-454D-BFB9-38035F15BEA2}" presName="Name37" presStyleLbl="parChTrans1D3" presStyleIdx="11" presStyleCnt="19"/>
      <dgm:spPr/>
    </dgm:pt>
    <dgm:pt modelId="{7A4FEDC0-C3C4-4E79-A84D-039DFB19DA4C}" type="pres">
      <dgm:prSet presAssocID="{C2E010DC-331B-43D6-8444-C0B1199981A4}" presName="hierRoot2" presStyleCnt="0">
        <dgm:presLayoutVars>
          <dgm:hierBranch val="init"/>
        </dgm:presLayoutVars>
      </dgm:prSet>
      <dgm:spPr/>
    </dgm:pt>
    <dgm:pt modelId="{A845A6A5-9344-427F-A20E-713848DE34B1}" type="pres">
      <dgm:prSet presAssocID="{C2E010DC-331B-43D6-8444-C0B1199981A4}" presName="rootComposite" presStyleCnt="0"/>
      <dgm:spPr/>
    </dgm:pt>
    <dgm:pt modelId="{6FD9B61C-B635-425D-9800-4D5CED31EA50}" type="pres">
      <dgm:prSet presAssocID="{C2E010DC-331B-43D6-8444-C0B1199981A4}" presName="rootText" presStyleLbl="node3" presStyleIdx="11" presStyleCnt="19" custScaleX="131474" custScaleY="130180">
        <dgm:presLayoutVars>
          <dgm:chPref val="3"/>
        </dgm:presLayoutVars>
      </dgm:prSet>
      <dgm:spPr/>
    </dgm:pt>
    <dgm:pt modelId="{94CCB4B5-8006-47AD-86A4-1FFF62400314}" type="pres">
      <dgm:prSet presAssocID="{C2E010DC-331B-43D6-8444-C0B1199981A4}" presName="rootConnector" presStyleLbl="node3" presStyleIdx="11" presStyleCnt="19"/>
      <dgm:spPr/>
    </dgm:pt>
    <dgm:pt modelId="{4BF4EC14-7A44-4C08-B44A-988DE4069E89}" type="pres">
      <dgm:prSet presAssocID="{C2E010DC-331B-43D6-8444-C0B1199981A4}" presName="hierChild4" presStyleCnt="0"/>
      <dgm:spPr/>
    </dgm:pt>
    <dgm:pt modelId="{B7F1ABE5-1A93-4B65-A16D-B69A3C91C3DE}" type="pres">
      <dgm:prSet presAssocID="{C2E010DC-331B-43D6-8444-C0B1199981A4}" presName="hierChild5" presStyleCnt="0"/>
      <dgm:spPr/>
    </dgm:pt>
    <dgm:pt modelId="{AC1C978B-145E-431C-9BDE-A4BFDF285CE2}" type="pres">
      <dgm:prSet presAssocID="{9F0F5E32-C699-483C-9528-87F9B4D7C1AC}" presName="hierChild5" presStyleCnt="0"/>
      <dgm:spPr/>
    </dgm:pt>
    <dgm:pt modelId="{C1E43B74-F442-490E-9D1B-0ECC1FF6EFED}" type="pres">
      <dgm:prSet presAssocID="{78EDEBB2-E6F1-4B37-9065-AB03AFFEFDA0}" presName="Name37" presStyleLbl="parChTrans1D2" presStyleIdx="4" presStyleCnt="5"/>
      <dgm:spPr/>
    </dgm:pt>
    <dgm:pt modelId="{5D219536-4997-4136-AA6E-760B846A68BF}" type="pres">
      <dgm:prSet presAssocID="{C5D17B15-7B1A-4BF8-9FCC-23A201EAF9F9}" presName="hierRoot2" presStyleCnt="0">
        <dgm:presLayoutVars>
          <dgm:hierBranch val="init"/>
        </dgm:presLayoutVars>
      </dgm:prSet>
      <dgm:spPr/>
    </dgm:pt>
    <dgm:pt modelId="{EB2359A0-A2B7-440F-B07B-C351C0236DBD}" type="pres">
      <dgm:prSet presAssocID="{C5D17B15-7B1A-4BF8-9FCC-23A201EAF9F9}" presName="rootComposite" presStyleCnt="0"/>
      <dgm:spPr/>
    </dgm:pt>
    <dgm:pt modelId="{9247ABA2-F318-42DB-AEF4-5AF81BE38FAA}" type="pres">
      <dgm:prSet presAssocID="{C5D17B15-7B1A-4BF8-9FCC-23A201EAF9F9}" presName="rootText" presStyleLbl="node2" presStyleIdx="4" presStyleCnt="5" custScaleX="165050">
        <dgm:presLayoutVars>
          <dgm:chPref val="3"/>
        </dgm:presLayoutVars>
      </dgm:prSet>
      <dgm:spPr/>
    </dgm:pt>
    <dgm:pt modelId="{A6541F32-0476-4029-A43D-07F7F542BBEA}" type="pres">
      <dgm:prSet presAssocID="{C5D17B15-7B1A-4BF8-9FCC-23A201EAF9F9}" presName="rootConnector" presStyleLbl="node2" presStyleIdx="4" presStyleCnt="5"/>
      <dgm:spPr/>
    </dgm:pt>
    <dgm:pt modelId="{07A1D22C-5A1E-4053-8708-557170262F45}" type="pres">
      <dgm:prSet presAssocID="{C5D17B15-7B1A-4BF8-9FCC-23A201EAF9F9}" presName="hierChild4" presStyleCnt="0"/>
      <dgm:spPr/>
    </dgm:pt>
    <dgm:pt modelId="{47B174BE-7074-43D5-8851-FC748908FB6F}" type="pres">
      <dgm:prSet presAssocID="{23CF0F95-67A8-4769-92C7-8A158D5AF346}" presName="Name37" presStyleLbl="parChTrans1D3" presStyleIdx="12" presStyleCnt="19"/>
      <dgm:spPr/>
    </dgm:pt>
    <dgm:pt modelId="{623EB096-D4BA-47AC-9BE8-199AC1687157}" type="pres">
      <dgm:prSet presAssocID="{01ECA6C3-51F0-4FC7-8491-256CE7E0DBC1}" presName="hierRoot2" presStyleCnt="0">
        <dgm:presLayoutVars>
          <dgm:hierBranch val="init"/>
        </dgm:presLayoutVars>
      </dgm:prSet>
      <dgm:spPr/>
    </dgm:pt>
    <dgm:pt modelId="{A0617752-5620-4C4F-985C-2B0E367AD861}" type="pres">
      <dgm:prSet presAssocID="{01ECA6C3-51F0-4FC7-8491-256CE7E0DBC1}" presName="rootComposite" presStyleCnt="0"/>
      <dgm:spPr/>
    </dgm:pt>
    <dgm:pt modelId="{D5877B22-CFE7-4DE0-BACB-E973394F64BA}" type="pres">
      <dgm:prSet presAssocID="{01ECA6C3-51F0-4FC7-8491-256CE7E0DBC1}" presName="rootText" presStyleLbl="node3" presStyleIdx="12" presStyleCnt="19">
        <dgm:presLayoutVars>
          <dgm:chPref val="3"/>
        </dgm:presLayoutVars>
      </dgm:prSet>
      <dgm:spPr/>
    </dgm:pt>
    <dgm:pt modelId="{9592D1A4-7148-4913-94FE-AD0BB65FA239}" type="pres">
      <dgm:prSet presAssocID="{01ECA6C3-51F0-4FC7-8491-256CE7E0DBC1}" presName="rootConnector" presStyleLbl="node3" presStyleIdx="12" presStyleCnt="19"/>
      <dgm:spPr/>
    </dgm:pt>
    <dgm:pt modelId="{335AF90F-9814-4A78-9932-FF6BD886ADCC}" type="pres">
      <dgm:prSet presAssocID="{01ECA6C3-51F0-4FC7-8491-256CE7E0DBC1}" presName="hierChild4" presStyleCnt="0"/>
      <dgm:spPr/>
    </dgm:pt>
    <dgm:pt modelId="{7B741908-2F0A-4D15-88CF-8AC918141CE1}" type="pres">
      <dgm:prSet presAssocID="{01ECA6C3-51F0-4FC7-8491-256CE7E0DBC1}" presName="hierChild5" presStyleCnt="0"/>
      <dgm:spPr/>
    </dgm:pt>
    <dgm:pt modelId="{CC347B82-48A6-4EC6-A0D3-821F6BE5985F}" type="pres">
      <dgm:prSet presAssocID="{F9229030-CBE5-45EB-944F-47AB9925CB9C}" presName="Name37" presStyleLbl="parChTrans1D3" presStyleIdx="13" presStyleCnt="19"/>
      <dgm:spPr/>
    </dgm:pt>
    <dgm:pt modelId="{74A535E9-BDD6-460A-8E47-0340F1F3ECAA}" type="pres">
      <dgm:prSet presAssocID="{895714DC-8506-4A23-B05F-1BA4EF80BA43}" presName="hierRoot2" presStyleCnt="0">
        <dgm:presLayoutVars>
          <dgm:hierBranch val="init"/>
        </dgm:presLayoutVars>
      </dgm:prSet>
      <dgm:spPr/>
    </dgm:pt>
    <dgm:pt modelId="{30890E9D-33C5-4AD7-A7D6-671DF1F455A7}" type="pres">
      <dgm:prSet presAssocID="{895714DC-8506-4A23-B05F-1BA4EF80BA43}" presName="rootComposite" presStyleCnt="0"/>
      <dgm:spPr/>
    </dgm:pt>
    <dgm:pt modelId="{1793880F-F3C9-422E-81B0-7A1A7D51FA33}" type="pres">
      <dgm:prSet presAssocID="{895714DC-8506-4A23-B05F-1BA4EF80BA43}" presName="rootText" presStyleLbl="node3" presStyleIdx="13" presStyleCnt="19" custScaleX="117328">
        <dgm:presLayoutVars>
          <dgm:chPref val="3"/>
        </dgm:presLayoutVars>
      </dgm:prSet>
      <dgm:spPr/>
    </dgm:pt>
    <dgm:pt modelId="{41812A26-035B-4167-AE36-81AA0CF9FB98}" type="pres">
      <dgm:prSet presAssocID="{895714DC-8506-4A23-B05F-1BA4EF80BA43}" presName="rootConnector" presStyleLbl="node3" presStyleIdx="13" presStyleCnt="19"/>
      <dgm:spPr/>
    </dgm:pt>
    <dgm:pt modelId="{B745DB96-D764-41A7-80CE-AA248FB40CB1}" type="pres">
      <dgm:prSet presAssocID="{895714DC-8506-4A23-B05F-1BA4EF80BA43}" presName="hierChild4" presStyleCnt="0"/>
      <dgm:spPr/>
    </dgm:pt>
    <dgm:pt modelId="{D7F292DF-EF06-4A63-A437-70ECFE851E7A}" type="pres">
      <dgm:prSet presAssocID="{895714DC-8506-4A23-B05F-1BA4EF80BA43}" presName="hierChild5" presStyleCnt="0"/>
      <dgm:spPr/>
    </dgm:pt>
    <dgm:pt modelId="{A3589812-09FB-47D7-8AF5-5B8B8B249DB2}" type="pres">
      <dgm:prSet presAssocID="{67726A67-4DC9-4FFE-BFD6-09284ED8D04F}" presName="Name37" presStyleLbl="parChTrans1D3" presStyleIdx="14" presStyleCnt="19"/>
      <dgm:spPr/>
    </dgm:pt>
    <dgm:pt modelId="{D6584296-91D7-45DF-A908-AD1AA9E58637}" type="pres">
      <dgm:prSet presAssocID="{7915736E-329E-4389-B026-A4F6391953C3}" presName="hierRoot2" presStyleCnt="0">
        <dgm:presLayoutVars>
          <dgm:hierBranch val="init"/>
        </dgm:presLayoutVars>
      </dgm:prSet>
      <dgm:spPr/>
    </dgm:pt>
    <dgm:pt modelId="{AD4F571F-8C8B-4771-873F-AE5E5E80A846}" type="pres">
      <dgm:prSet presAssocID="{7915736E-329E-4389-B026-A4F6391953C3}" presName="rootComposite" presStyleCnt="0"/>
      <dgm:spPr/>
    </dgm:pt>
    <dgm:pt modelId="{D91D2494-6542-426F-95EC-524A3E6C6E9E}" type="pres">
      <dgm:prSet presAssocID="{7915736E-329E-4389-B026-A4F6391953C3}" presName="rootText" presStyleLbl="node3" presStyleIdx="14" presStyleCnt="19" custScaleX="120795">
        <dgm:presLayoutVars>
          <dgm:chPref val="3"/>
        </dgm:presLayoutVars>
      </dgm:prSet>
      <dgm:spPr/>
    </dgm:pt>
    <dgm:pt modelId="{D742EC39-E31B-4A31-8AE5-2854E9331CCD}" type="pres">
      <dgm:prSet presAssocID="{7915736E-329E-4389-B026-A4F6391953C3}" presName="rootConnector" presStyleLbl="node3" presStyleIdx="14" presStyleCnt="19"/>
      <dgm:spPr/>
    </dgm:pt>
    <dgm:pt modelId="{5EAB0A43-162F-4FA9-BC8E-60E8DDC61BAD}" type="pres">
      <dgm:prSet presAssocID="{7915736E-329E-4389-B026-A4F6391953C3}" presName="hierChild4" presStyleCnt="0"/>
      <dgm:spPr/>
    </dgm:pt>
    <dgm:pt modelId="{32A3FF0F-8E50-4CF7-B4D9-A6E49F33C021}" type="pres">
      <dgm:prSet presAssocID="{7915736E-329E-4389-B026-A4F6391953C3}" presName="hierChild5" presStyleCnt="0"/>
      <dgm:spPr/>
    </dgm:pt>
    <dgm:pt modelId="{F3172634-F213-4CCD-9377-916EE95E6FEB}" type="pres">
      <dgm:prSet presAssocID="{4F543FE2-C417-4356-918C-29ADB87B70D7}" presName="Name37" presStyleLbl="parChTrans1D3" presStyleIdx="15" presStyleCnt="19"/>
      <dgm:spPr/>
    </dgm:pt>
    <dgm:pt modelId="{381B86D6-FF32-469B-9B13-D6E2D2946701}" type="pres">
      <dgm:prSet presAssocID="{2E36FDFF-8735-4D6E-A9EC-EE14AD8CF192}" presName="hierRoot2" presStyleCnt="0">
        <dgm:presLayoutVars>
          <dgm:hierBranch val="init"/>
        </dgm:presLayoutVars>
      </dgm:prSet>
      <dgm:spPr/>
    </dgm:pt>
    <dgm:pt modelId="{372C6529-05BE-4EDF-A7A2-5548428C6D0F}" type="pres">
      <dgm:prSet presAssocID="{2E36FDFF-8735-4D6E-A9EC-EE14AD8CF192}" presName="rootComposite" presStyleCnt="0"/>
      <dgm:spPr/>
    </dgm:pt>
    <dgm:pt modelId="{8105E564-5E33-48F7-9B57-1822F5AC710C}" type="pres">
      <dgm:prSet presAssocID="{2E36FDFF-8735-4D6E-A9EC-EE14AD8CF192}" presName="rootText" presStyleLbl="node3" presStyleIdx="15" presStyleCnt="19" custScaleX="120793">
        <dgm:presLayoutVars>
          <dgm:chPref val="3"/>
        </dgm:presLayoutVars>
      </dgm:prSet>
      <dgm:spPr/>
    </dgm:pt>
    <dgm:pt modelId="{A031B46C-4604-4E02-9D84-E6108BF1063D}" type="pres">
      <dgm:prSet presAssocID="{2E36FDFF-8735-4D6E-A9EC-EE14AD8CF192}" presName="rootConnector" presStyleLbl="node3" presStyleIdx="15" presStyleCnt="19"/>
      <dgm:spPr/>
    </dgm:pt>
    <dgm:pt modelId="{0CE520ED-0D45-46FF-9AA0-F1D045A2CD75}" type="pres">
      <dgm:prSet presAssocID="{2E36FDFF-8735-4D6E-A9EC-EE14AD8CF192}" presName="hierChild4" presStyleCnt="0"/>
      <dgm:spPr/>
    </dgm:pt>
    <dgm:pt modelId="{ACC60D47-28FF-4339-9234-4254153914CC}" type="pres">
      <dgm:prSet presAssocID="{2E36FDFF-8735-4D6E-A9EC-EE14AD8CF192}" presName="hierChild5" presStyleCnt="0"/>
      <dgm:spPr/>
    </dgm:pt>
    <dgm:pt modelId="{B99F5AA7-5D83-460F-A4F4-F2DF85AD8846}" type="pres">
      <dgm:prSet presAssocID="{1442B3CE-9E8D-429B-85BF-51A0951F385E}" presName="Name37" presStyleLbl="parChTrans1D3" presStyleIdx="16" presStyleCnt="19"/>
      <dgm:spPr/>
    </dgm:pt>
    <dgm:pt modelId="{2EF7942B-F4F3-4DC4-B551-7E6DDEF6416D}" type="pres">
      <dgm:prSet presAssocID="{3C5817FF-9375-4208-95F4-926C0665C584}" presName="hierRoot2" presStyleCnt="0">
        <dgm:presLayoutVars>
          <dgm:hierBranch val="init"/>
        </dgm:presLayoutVars>
      </dgm:prSet>
      <dgm:spPr/>
    </dgm:pt>
    <dgm:pt modelId="{F9BAB6BA-A6DF-4337-A624-92940A014FD0}" type="pres">
      <dgm:prSet presAssocID="{3C5817FF-9375-4208-95F4-926C0665C584}" presName="rootComposite" presStyleCnt="0"/>
      <dgm:spPr/>
    </dgm:pt>
    <dgm:pt modelId="{C68B121C-E998-437C-9453-551C74411EA1}" type="pres">
      <dgm:prSet presAssocID="{3C5817FF-9375-4208-95F4-926C0665C584}" presName="rootText" presStyleLbl="node3" presStyleIdx="16" presStyleCnt="19" custScaleX="165305" custScaleY="134656">
        <dgm:presLayoutVars>
          <dgm:chPref val="3"/>
        </dgm:presLayoutVars>
      </dgm:prSet>
      <dgm:spPr/>
    </dgm:pt>
    <dgm:pt modelId="{A96A36A3-97C9-466D-9ABD-8184219F276F}" type="pres">
      <dgm:prSet presAssocID="{3C5817FF-9375-4208-95F4-926C0665C584}" presName="rootConnector" presStyleLbl="node3" presStyleIdx="16" presStyleCnt="19"/>
      <dgm:spPr/>
    </dgm:pt>
    <dgm:pt modelId="{20A82BB8-FCBD-4842-8729-7E03FD89D838}" type="pres">
      <dgm:prSet presAssocID="{3C5817FF-9375-4208-95F4-926C0665C584}" presName="hierChild4" presStyleCnt="0"/>
      <dgm:spPr/>
    </dgm:pt>
    <dgm:pt modelId="{F0850552-C18D-4710-AAFD-6B6AEA88F67D}" type="pres">
      <dgm:prSet presAssocID="{3C5817FF-9375-4208-95F4-926C0665C584}" presName="hierChild5" presStyleCnt="0"/>
      <dgm:spPr/>
    </dgm:pt>
    <dgm:pt modelId="{D52DC5B6-8E30-4F09-A453-3053DAA342B7}" type="pres">
      <dgm:prSet presAssocID="{120D8121-C2D3-4013-853A-BB72C191123E}" presName="Name37" presStyleLbl="parChTrans1D3" presStyleIdx="17" presStyleCnt="19"/>
      <dgm:spPr/>
    </dgm:pt>
    <dgm:pt modelId="{38F3D756-2974-40BF-A4F3-D2C5C4FB170C}" type="pres">
      <dgm:prSet presAssocID="{0435002F-15A3-47A1-ACA9-DAA799329E5F}" presName="hierRoot2" presStyleCnt="0">
        <dgm:presLayoutVars>
          <dgm:hierBranch val="init"/>
        </dgm:presLayoutVars>
      </dgm:prSet>
      <dgm:spPr/>
    </dgm:pt>
    <dgm:pt modelId="{B9AF9E0B-3FB4-4AA3-AFC5-2A0A0BCC08A8}" type="pres">
      <dgm:prSet presAssocID="{0435002F-15A3-47A1-ACA9-DAA799329E5F}" presName="rootComposite" presStyleCnt="0"/>
      <dgm:spPr/>
    </dgm:pt>
    <dgm:pt modelId="{BE5E8A09-965D-46FD-BE43-25D0FC68057C}" type="pres">
      <dgm:prSet presAssocID="{0435002F-15A3-47A1-ACA9-DAA799329E5F}" presName="rootText" presStyleLbl="node3" presStyleIdx="17" presStyleCnt="19" custScaleX="117328">
        <dgm:presLayoutVars>
          <dgm:chPref val="3"/>
        </dgm:presLayoutVars>
      </dgm:prSet>
      <dgm:spPr/>
    </dgm:pt>
    <dgm:pt modelId="{92D4328A-8CA5-4B0D-A347-0DEE6DE640D9}" type="pres">
      <dgm:prSet presAssocID="{0435002F-15A3-47A1-ACA9-DAA799329E5F}" presName="rootConnector" presStyleLbl="node3" presStyleIdx="17" presStyleCnt="19"/>
      <dgm:spPr/>
    </dgm:pt>
    <dgm:pt modelId="{B21B1929-631B-4753-AA96-D8185EC760ED}" type="pres">
      <dgm:prSet presAssocID="{0435002F-15A3-47A1-ACA9-DAA799329E5F}" presName="hierChild4" presStyleCnt="0"/>
      <dgm:spPr/>
    </dgm:pt>
    <dgm:pt modelId="{E768E668-AB51-477F-9019-9953B7100B66}" type="pres">
      <dgm:prSet presAssocID="{0435002F-15A3-47A1-ACA9-DAA799329E5F}" presName="hierChild5" presStyleCnt="0"/>
      <dgm:spPr/>
    </dgm:pt>
    <dgm:pt modelId="{89183F5B-3F62-42CB-9D08-675320EEAF4E}" type="pres">
      <dgm:prSet presAssocID="{3B0C3C59-BAA9-4693-9F17-13205E3C4156}" presName="Name37" presStyleLbl="parChTrans1D3" presStyleIdx="18" presStyleCnt="19"/>
      <dgm:spPr/>
    </dgm:pt>
    <dgm:pt modelId="{75E284A8-5DDB-4FA5-A023-EB9378C186E2}" type="pres">
      <dgm:prSet presAssocID="{16B12D21-F826-4D5D-B2F6-D14AB562B686}" presName="hierRoot2" presStyleCnt="0">
        <dgm:presLayoutVars>
          <dgm:hierBranch val="init"/>
        </dgm:presLayoutVars>
      </dgm:prSet>
      <dgm:spPr/>
    </dgm:pt>
    <dgm:pt modelId="{31D7E35C-7AE0-4C86-862E-62DDE36EECE9}" type="pres">
      <dgm:prSet presAssocID="{16B12D21-F826-4D5D-B2F6-D14AB562B686}" presName="rootComposite" presStyleCnt="0"/>
      <dgm:spPr/>
    </dgm:pt>
    <dgm:pt modelId="{46B393A1-5ED9-4A47-A1C5-FF1683AD125D}" type="pres">
      <dgm:prSet presAssocID="{16B12D21-F826-4D5D-B2F6-D14AB562B686}" presName="rootText" presStyleLbl="node3" presStyleIdx="18" presStyleCnt="19">
        <dgm:presLayoutVars>
          <dgm:chPref val="3"/>
        </dgm:presLayoutVars>
      </dgm:prSet>
      <dgm:spPr/>
    </dgm:pt>
    <dgm:pt modelId="{E271E75B-F0FF-4600-BD4B-F2A0DE1810E9}" type="pres">
      <dgm:prSet presAssocID="{16B12D21-F826-4D5D-B2F6-D14AB562B686}" presName="rootConnector" presStyleLbl="node3" presStyleIdx="18" presStyleCnt="19"/>
      <dgm:spPr/>
    </dgm:pt>
    <dgm:pt modelId="{9ACE3ABE-F6C8-4619-8D23-F3CF083668CF}" type="pres">
      <dgm:prSet presAssocID="{16B12D21-F826-4D5D-B2F6-D14AB562B686}" presName="hierChild4" presStyleCnt="0"/>
      <dgm:spPr/>
    </dgm:pt>
    <dgm:pt modelId="{1A967D25-6303-4E6F-ADE6-6850280126F1}" type="pres">
      <dgm:prSet presAssocID="{16B12D21-F826-4D5D-B2F6-D14AB562B686}" presName="hierChild5" presStyleCnt="0"/>
      <dgm:spPr/>
    </dgm:pt>
    <dgm:pt modelId="{B60C4C47-903E-455B-94D1-DD1EAD095504}" type="pres">
      <dgm:prSet presAssocID="{C5D17B15-7B1A-4BF8-9FCC-23A201EAF9F9}" presName="hierChild5" presStyleCnt="0"/>
      <dgm:spPr/>
    </dgm:pt>
    <dgm:pt modelId="{802FEDE1-4129-431B-8DE6-DE98F49306F5}" type="pres">
      <dgm:prSet presAssocID="{EA1099C2-EBF6-4922-8478-563EFD1E5128}" presName="hierChild3" presStyleCnt="0"/>
      <dgm:spPr/>
    </dgm:pt>
  </dgm:ptLst>
  <dgm:cxnLst>
    <dgm:cxn modelId="{E5ADFE03-9951-4D58-88DC-DEE2827FEE9C}" type="presOf" srcId="{0435002F-15A3-47A1-ACA9-DAA799329E5F}" destId="{92D4328A-8CA5-4B0D-A347-0DEE6DE640D9}" srcOrd="1" destOrd="0" presId="urn:microsoft.com/office/officeart/2005/8/layout/orgChart1#1"/>
    <dgm:cxn modelId="{45AAA704-B144-43B7-8D69-3DED4318CE14}" srcId="{9F0F5E32-C699-483C-9528-87F9B4D7C1AC}" destId="{98B656AC-4328-414F-B03D-2A12E591144D}" srcOrd="2" destOrd="0" parTransId="{27345A43-B8F0-4418-8AE7-0BAB69061B16}" sibTransId="{2E94CF97-63AA-4639-BE43-A0CAC69380BA}"/>
    <dgm:cxn modelId="{07D6D704-7B80-4D0E-82AE-2C0EF4BC65EC}" srcId="{EA1099C2-EBF6-4922-8478-563EFD1E5128}" destId="{FF1924B3-1A83-4453-AB7F-26286B10289A}" srcOrd="2" destOrd="0" parTransId="{6C871142-CE56-43CB-AEB8-1FEA60594B4A}" sibTransId="{698A0D7F-F0AD-4EA8-8672-C0584D5226D5}"/>
    <dgm:cxn modelId="{CA40EF04-3A9F-4E3D-8CC8-039297C02789}" type="presOf" srcId="{98B656AC-4328-414F-B03D-2A12E591144D}" destId="{7838E614-A789-45DC-B44A-D0531A9DB281}" srcOrd="1" destOrd="0" presId="urn:microsoft.com/office/officeart/2005/8/layout/orgChart1#1"/>
    <dgm:cxn modelId="{5315EE07-1E6F-4633-BC3F-6B90BF90D4D7}" type="presOf" srcId="{C5D17B15-7B1A-4BF8-9FCC-23A201EAF9F9}" destId="{A6541F32-0476-4029-A43D-07F7F542BBEA}" srcOrd="1" destOrd="0" presId="urn:microsoft.com/office/officeart/2005/8/layout/orgChart1#1"/>
    <dgm:cxn modelId="{C3870E0B-B34B-4928-8F46-3C6D4BC33F60}" type="presOf" srcId="{2E36FDFF-8735-4D6E-A9EC-EE14AD8CF192}" destId="{8105E564-5E33-48F7-9B57-1822F5AC710C}" srcOrd="0" destOrd="0" presId="urn:microsoft.com/office/officeart/2005/8/layout/orgChart1#1"/>
    <dgm:cxn modelId="{DA8A3711-91FD-403A-8D37-94F3159EC126}" type="presOf" srcId="{16030DE0-627D-4AC5-A880-7205884349E4}" destId="{EA2B60CC-09AE-489D-B64D-FB35E3B315EB}" srcOrd="1" destOrd="0" presId="urn:microsoft.com/office/officeart/2005/8/layout/orgChart1#1"/>
    <dgm:cxn modelId="{488C0E14-733D-45BB-AC21-E8E5C2143830}" type="presOf" srcId="{019D9886-FE21-4042-BD8C-1E610498E706}" destId="{2A09611D-DD36-4378-9ACC-B315EC6CD6B1}" srcOrd="1" destOrd="0" presId="urn:microsoft.com/office/officeart/2005/8/layout/orgChart1#1"/>
    <dgm:cxn modelId="{65232616-4EB3-4A98-968D-87F18FD95235}" srcId="{FF1924B3-1A83-4453-AB7F-26286B10289A}" destId="{69E3CF74-11BB-468A-B19C-06BB5555AF25}" srcOrd="1" destOrd="0" parTransId="{97F155F0-E427-4481-A586-C73E9B07A7E2}" sibTransId="{2E51A042-F920-44D9-89A2-B62BB4BBEAF7}"/>
    <dgm:cxn modelId="{9CA3FC16-EBA6-4C6C-A932-7EEC5C02617F}" type="presOf" srcId="{769D7B1E-57CC-4419-A8C3-264566AF0356}" destId="{DF3C2526-65A4-4E0E-B15E-50150D0378DC}" srcOrd="0" destOrd="0" presId="urn:microsoft.com/office/officeart/2005/8/layout/orgChart1#1"/>
    <dgm:cxn modelId="{E5387917-632D-4EA8-8F55-29FB8F9E485B}" type="presOf" srcId="{01ECA6C3-51F0-4FC7-8491-256CE7E0DBC1}" destId="{9592D1A4-7148-4913-94FE-AD0BB65FA239}" srcOrd="1" destOrd="0" presId="urn:microsoft.com/office/officeart/2005/8/layout/orgChart1#1"/>
    <dgm:cxn modelId="{24837B18-2CFD-47F2-9C60-9DB350274C15}" type="presOf" srcId="{7915736E-329E-4389-B026-A4F6391953C3}" destId="{D742EC39-E31B-4A31-8AE5-2854E9331CCD}" srcOrd="1" destOrd="0" presId="urn:microsoft.com/office/officeart/2005/8/layout/orgChart1#1"/>
    <dgm:cxn modelId="{FF19C420-AB19-45F2-84C1-763065CDCB18}" type="presOf" srcId="{16B12D21-F826-4D5D-B2F6-D14AB562B686}" destId="{E271E75B-F0FF-4600-BD4B-F2A0DE1810E9}" srcOrd="1" destOrd="0" presId="urn:microsoft.com/office/officeart/2005/8/layout/orgChart1#1"/>
    <dgm:cxn modelId="{101E2322-A7E8-4728-9148-4DB01155BC9A}" srcId="{8E283093-32A4-4B96-9DD9-96741F4250E2}" destId="{EA1099C2-EBF6-4922-8478-563EFD1E5128}" srcOrd="0" destOrd="0" parTransId="{27A2CFC6-702F-4058-9004-10D4C17DF3E6}" sibTransId="{1EF65150-1676-4889-83B7-46DF82C65EE9}"/>
    <dgm:cxn modelId="{CBB14823-8422-46F2-A513-3038ED0799DE}" type="presOf" srcId="{69E3CF74-11BB-468A-B19C-06BB5555AF25}" destId="{7B5D60F8-1563-4E59-B150-3195B6B461AB}" srcOrd="1" destOrd="0" presId="urn:microsoft.com/office/officeart/2005/8/layout/orgChart1#1"/>
    <dgm:cxn modelId="{2CBCCA23-847D-4903-9246-E05C6A4635CB}" type="presOf" srcId="{87777633-8E0C-48AB-8B79-7217BA570FAB}" destId="{CA563783-94E8-471C-BA0C-BB452DC9C262}" srcOrd="0" destOrd="0" presId="urn:microsoft.com/office/officeart/2005/8/layout/orgChart1#1"/>
    <dgm:cxn modelId="{A735AE24-9F45-4F2C-ACFB-E00A7F1455DE}" srcId="{C5D17B15-7B1A-4BF8-9FCC-23A201EAF9F9}" destId="{895714DC-8506-4A23-B05F-1BA4EF80BA43}" srcOrd="1" destOrd="0" parTransId="{F9229030-CBE5-45EB-944F-47AB9925CB9C}" sibTransId="{D30A53C0-C311-44E7-9BEA-AF783649B9FA}"/>
    <dgm:cxn modelId="{7137E72B-14DD-47A7-A98C-0B5F6E28D6EB}" srcId="{9F0F5E32-C699-483C-9528-87F9B4D7C1AC}" destId="{DBCEFC0D-4A74-454F-80B7-88B53E62673B}" srcOrd="3" destOrd="0" parTransId="{E3C0A578-CD3D-426B-BE82-14D8CCD84311}" sibTransId="{FE5251D6-B2BB-4741-8EF0-84CE7BB22ABC}"/>
    <dgm:cxn modelId="{42263F2F-99BD-4262-80E4-EB26E9F957C7}" type="presOf" srcId="{59A5CF65-2CDF-4C2E-8D78-20E1664B296B}" destId="{4EA13DF4-D5D8-4E3E-A641-06C600C22FA8}" srcOrd="0" destOrd="0" presId="urn:microsoft.com/office/officeart/2005/8/layout/orgChart1#1"/>
    <dgm:cxn modelId="{6E5EB332-3E61-4A6E-A993-49EA35E50614}" type="presOf" srcId="{1442B3CE-9E8D-429B-85BF-51A0951F385E}" destId="{B99F5AA7-5D83-460F-A4F4-F2DF85AD8846}" srcOrd="0" destOrd="0" presId="urn:microsoft.com/office/officeart/2005/8/layout/orgChart1#1"/>
    <dgm:cxn modelId="{E6029E34-DB5A-487B-8B9C-3C559E44BC7D}" type="presOf" srcId="{43476426-3466-40A4-A5AC-106ED74E27E2}" destId="{719FFC00-67ED-4259-9901-A0AA8C8B47F4}" srcOrd="0" destOrd="0" presId="urn:microsoft.com/office/officeart/2005/8/layout/orgChart1#1"/>
    <dgm:cxn modelId="{C97EAD39-A022-49E7-B886-BF8699E2FACE}" type="presOf" srcId="{946ACC72-FFFB-46CE-A41E-4C1F595731CB}" destId="{A8D484FE-4C5C-41DB-BC95-1EC688C91D00}" srcOrd="1" destOrd="0" presId="urn:microsoft.com/office/officeart/2005/8/layout/orgChart1#1"/>
    <dgm:cxn modelId="{A533EC3A-4124-43F3-8051-F99E19C18EEF}" srcId="{EA1099C2-EBF6-4922-8478-563EFD1E5128}" destId="{C5D17B15-7B1A-4BF8-9FCC-23A201EAF9F9}" srcOrd="4" destOrd="0" parTransId="{78EDEBB2-E6F1-4B37-9065-AB03AFFEFDA0}" sibTransId="{732DC899-81C7-4B29-818C-797A643CCBA7}"/>
    <dgm:cxn modelId="{46CF3B3E-B200-4BC5-892A-B0B4602D462D}" srcId="{FF1924B3-1A83-4453-AB7F-26286B10289A}" destId="{B1452405-E130-42BD-87D9-11A6B8C65741}" srcOrd="3" destOrd="0" parTransId="{534D3E5E-665D-40CB-A2BB-F818B87C824C}" sibTransId="{270E3572-6E36-4E79-8BC7-966E1765B704}"/>
    <dgm:cxn modelId="{8982A15D-A8D6-4DAA-9B7A-D44FB60E46AB}" type="presOf" srcId="{C5D17B15-7B1A-4BF8-9FCC-23A201EAF9F9}" destId="{9247ABA2-F318-42DB-AEF4-5AF81BE38FAA}" srcOrd="0" destOrd="0" presId="urn:microsoft.com/office/officeart/2005/8/layout/orgChart1#1"/>
    <dgm:cxn modelId="{49970D5F-0800-43AE-B26A-61219B2967AB}" srcId="{FF1924B3-1A83-4453-AB7F-26286B10289A}" destId="{81FF7A03-D349-4867-8CC1-A406A7F5F8A8}" srcOrd="5" destOrd="0" parTransId="{13483CD8-6237-4CDC-AE88-BC3F1AD7C33B}" sibTransId="{5C0CB216-2F27-4F85-AE4B-5D751C8C5D09}"/>
    <dgm:cxn modelId="{999CB841-B301-4DD8-AF1F-FF5B573F0CBB}" type="presOf" srcId="{3C5817FF-9375-4208-95F4-926C0665C584}" destId="{C68B121C-E998-437C-9453-551C74411EA1}" srcOrd="0" destOrd="0" presId="urn:microsoft.com/office/officeart/2005/8/layout/orgChart1#1"/>
    <dgm:cxn modelId="{671C6445-649F-4156-8DA9-A0A7727C24B6}" type="presOf" srcId="{B1452405-E130-42BD-87D9-11A6B8C65741}" destId="{872AC66D-5BAE-499E-ADC5-0D9341EAE656}" srcOrd="1" destOrd="0" presId="urn:microsoft.com/office/officeart/2005/8/layout/orgChart1#1"/>
    <dgm:cxn modelId="{EEDB9067-2B9A-4DD3-96F7-B38941392BB8}" type="presOf" srcId="{1AFB6684-2615-4AFE-947F-BD1C41633B5C}" destId="{15D5A321-F15D-434C-8920-BC20B74C763F}" srcOrd="0" destOrd="0" presId="urn:microsoft.com/office/officeart/2005/8/layout/orgChart1#1"/>
    <dgm:cxn modelId="{677E5249-0ABE-4A52-93B2-ABE72412A2FA}" type="presOf" srcId="{27345A43-B8F0-4418-8AE7-0BAB69061B16}" destId="{D25F950A-D266-41E0-8B8B-DE3B414A00EB}" srcOrd="0" destOrd="0" presId="urn:microsoft.com/office/officeart/2005/8/layout/orgChart1#1"/>
    <dgm:cxn modelId="{9EEFDE49-4610-45C9-A930-FCDCC5E578B3}" type="presOf" srcId="{3C5817FF-9375-4208-95F4-926C0665C584}" destId="{A96A36A3-97C9-466D-9ABD-8184219F276F}" srcOrd="1" destOrd="0" presId="urn:microsoft.com/office/officeart/2005/8/layout/orgChart1#1"/>
    <dgm:cxn modelId="{E276B24A-40B5-4DAE-8C76-003760489044}" type="presOf" srcId="{1AFB6684-2615-4AFE-947F-BD1C41633B5C}" destId="{4906DA2B-FBB3-410E-8D00-4F36EFC9C5AC}" srcOrd="1" destOrd="0" presId="urn:microsoft.com/office/officeart/2005/8/layout/orgChart1#1"/>
    <dgm:cxn modelId="{B383CF6B-5C32-4896-8F26-D338BE86880E}" srcId="{C5D17B15-7B1A-4BF8-9FCC-23A201EAF9F9}" destId="{7915736E-329E-4389-B026-A4F6391953C3}" srcOrd="2" destOrd="0" parTransId="{67726A67-4DC9-4FFE-BFD6-09284ED8D04F}" sibTransId="{681D1C2F-27E3-45C0-AFB3-B1CDDA87E24F}"/>
    <dgm:cxn modelId="{581ED76B-0BAE-49F0-88B0-8ADA44F87E9F}" srcId="{9F0F5E32-C699-483C-9528-87F9B4D7C1AC}" destId="{16030DE0-627D-4AC5-A880-7205884349E4}" srcOrd="0" destOrd="0" parTransId="{59A5CF65-2CDF-4C2E-8D78-20E1664B296B}" sibTransId="{F4EC6B16-0AA2-481F-A00C-114CAEE9BA32}"/>
    <dgm:cxn modelId="{A35AFA4C-4092-455F-BE7F-FB0B305391AA}" srcId="{C5D17B15-7B1A-4BF8-9FCC-23A201EAF9F9}" destId="{2E36FDFF-8735-4D6E-A9EC-EE14AD8CF192}" srcOrd="3" destOrd="0" parTransId="{4F543FE2-C417-4356-918C-29ADB87B70D7}" sibTransId="{E70857C7-5160-4FD8-9488-3BC2C835517A}"/>
    <dgm:cxn modelId="{8254986D-534A-4144-AF7C-21CB6D24DB35}" type="presOf" srcId="{C2E010DC-331B-43D6-8444-C0B1199981A4}" destId="{6FD9B61C-B635-425D-9800-4D5CED31EA50}" srcOrd="0" destOrd="0" presId="urn:microsoft.com/office/officeart/2005/8/layout/orgChart1#1"/>
    <dgm:cxn modelId="{97812B6F-26BA-40C3-B3EA-DB849A77860D}" srcId="{EA1099C2-EBF6-4922-8478-563EFD1E5128}" destId="{1AFB6684-2615-4AFE-947F-BD1C41633B5C}" srcOrd="0" destOrd="0" parTransId="{42C805C0-DF85-4B54-B26D-844A1BF16B1B}" sibTransId="{75A3A3A1-3A10-4AD7-A4F9-4B81D751B364}"/>
    <dgm:cxn modelId="{D0A8E270-292B-4055-8685-748C7B53E37A}" type="presOf" srcId="{7619B696-88D0-4B84-917F-823CA56F643C}" destId="{2838B24C-0341-47FD-B61F-FC388FD5A058}" srcOrd="0" destOrd="0" presId="urn:microsoft.com/office/officeart/2005/8/layout/orgChart1#1"/>
    <dgm:cxn modelId="{B6E42353-B8EF-4DFC-8275-A586324F0577}" type="presOf" srcId="{7619B696-88D0-4B84-917F-823CA56F643C}" destId="{1CCE46DA-7A0C-4F87-9D06-A511BC6267C0}" srcOrd="1" destOrd="0" presId="urn:microsoft.com/office/officeart/2005/8/layout/orgChart1#1"/>
    <dgm:cxn modelId="{621B4073-E4D1-4BDE-BF22-20F3C961793C}" type="presOf" srcId="{B1452405-E130-42BD-87D9-11A6B8C65741}" destId="{6054E834-8112-4BF6-AC92-17639A640AEF}" srcOrd="0" destOrd="0" presId="urn:microsoft.com/office/officeart/2005/8/layout/orgChart1#1"/>
    <dgm:cxn modelId="{8C068153-02E2-46B6-831B-342F043538A2}" type="presOf" srcId="{0435002F-15A3-47A1-ACA9-DAA799329E5F}" destId="{BE5E8A09-965D-46FD-BE43-25D0FC68057C}" srcOrd="0" destOrd="0" presId="urn:microsoft.com/office/officeart/2005/8/layout/orgChart1#1"/>
    <dgm:cxn modelId="{3D4AFA53-5A5F-4101-8D50-4AB499AC78A6}" srcId="{C5D17B15-7B1A-4BF8-9FCC-23A201EAF9F9}" destId="{0435002F-15A3-47A1-ACA9-DAA799329E5F}" srcOrd="5" destOrd="0" parTransId="{120D8121-C2D3-4013-853A-BB72C191123E}" sibTransId="{F4B031F0-028D-4F65-9FBF-8A3231B9D90F}"/>
    <dgm:cxn modelId="{90203074-38C9-462E-9E5E-3D31E09A4E93}" type="presOf" srcId="{946ACC72-FFFB-46CE-A41E-4C1F595731CB}" destId="{A89C2EC7-FA44-4184-B2D4-86E451C0AB8C}" srcOrd="0" destOrd="0" presId="urn:microsoft.com/office/officeart/2005/8/layout/orgChart1#1"/>
    <dgm:cxn modelId="{36C41C75-781A-4611-82A6-59574D51F6AF}" type="presOf" srcId="{69E3CF74-11BB-468A-B19C-06BB5555AF25}" destId="{D4103C60-95B9-4278-973A-4CA83D5F3C23}" srcOrd="0" destOrd="0" presId="urn:microsoft.com/office/officeart/2005/8/layout/orgChart1#1"/>
    <dgm:cxn modelId="{3B81F455-D89A-4483-BACB-B04B1471A457}" type="presOf" srcId="{534D3E5E-665D-40CB-A2BB-F818B87C824C}" destId="{EF75A677-BEFE-43F8-B8D3-531BE0301C38}" srcOrd="0" destOrd="0" presId="urn:microsoft.com/office/officeart/2005/8/layout/orgChart1#1"/>
    <dgm:cxn modelId="{66B8EB78-8FC9-42AD-B522-A6187A413459}" srcId="{C5D17B15-7B1A-4BF8-9FCC-23A201EAF9F9}" destId="{01ECA6C3-51F0-4FC7-8491-256CE7E0DBC1}" srcOrd="0" destOrd="0" parTransId="{23CF0F95-67A8-4769-92C7-8A158D5AF346}" sibTransId="{BD227E48-E65E-4EC2-AE2A-4DCF6ED74915}"/>
    <dgm:cxn modelId="{43209879-3454-44A3-BBA0-F366B804F872}" srcId="{C5D17B15-7B1A-4BF8-9FCC-23A201EAF9F9}" destId="{3C5817FF-9375-4208-95F4-926C0665C584}" srcOrd="4" destOrd="0" parTransId="{1442B3CE-9E8D-429B-85BF-51A0951F385E}" sibTransId="{D09D3EA0-C8E9-4F0F-8F79-B660DCFA4A0D}"/>
    <dgm:cxn modelId="{0670B87A-860E-4C30-9FDF-DD3A2461709F}" type="presOf" srcId="{096D03D5-DE86-4AD5-9A49-B12B66E9E46C}" destId="{2B7B0ADD-747A-4F9C-A6A7-3B1089C19F4D}" srcOrd="1" destOrd="0" presId="urn:microsoft.com/office/officeart/2005/8/layout/orgChart1#1"/>
    <dgm:cxn modelId="{0BF93883-7763-4F02-BD27-B73E3A83C944}" type="presOf" srcId="{FF1924B3-1A83-4453-AB7F-26286B10289A}" destId="{49B89AF1-97DD-47C1-BC7A-C7AA47A3E051}" srcOrd="0" destOrd="0" presId="urn:microsoft.com/office/officeart/2005/8/layout/orgChart1#1"/>
    <dgm:cxn modelId="{1C3CAB89-BCF0-4557-984C-6E9A121B7C6C}" type="presOf" srcId="{77D26BE7-E107-4C4B-9C61-D0E38611F73C}" destId="{A434E2FC-011A-488D-90DB-A67C266CB62A}" srcOrd="0" destOrd="0" presId="urn:microsoft.com/office/officeart/2005/8/layout/orgChart1#1"/>
    <dgm:cxn modelId="{40532C8E-FA3D-40FD-9E36-D2CAD1F22427}" type="presOf" srcId="{F623CCE9-A988-4C28-979D-7B1893B75839}" destId="{54A120E2-85BE-45D1-88D1-8DBDDB17D71A}" srcOrd="0" destOrd="0" presId="urn:microsoft.com/office/officeart/2005/8/layout/orgChart1#1"/>
    <dgm:cxn modelId="{5BEF058F-B5A0-4942-AE18-5D8159B52FC0}" type="presOf" srcId="{FF1924B3-1A83-4453-AB7F-26286B10289A}" destId="{70A454C8-0610-473B-991F-2665A23794BB}" srcOrd="1" destOrd="0" presId="urn:microsoft.com/office/officeart/2005/8/layout/orgChart1#1"/>
    <dgm:cxn modelId="{EAD3A991-0A77-40A6-829A-6EE2A40B717E}" type="presOf" srcId="{16030DE0-627D-4AC5-A880-7205884349E4}" destId="{8043AE37-95B8-4F0C-B378-765FBFED8EA1}" srcOrd="0" destOrd="0" presId="urn:microsoft.com/office/officeart/2005/8/layout/orgChart1#1"/>
    <dgm:cxn modelId="{CF597D9C-9512-4D60-9359-833E8AA8C21B}" type="presOf" srcId="{C2E010DC-331B-43D6-8444-C0B1199981A4}" destId="{94CCB4B5-8006-47AD-86A4-1FFF62400314}" srcOrd="1" destOrd="0" presId="urn:microsoft.com/office/officeart/2005/8/layout/orgChart1#1"/>
    <dgm:cxn modelId="{334A889E-9D81-41D3-B419-8C32EF7C24C2}" type="presOf" srcId="{78EDEBB2-E6F1-4B37-9065-AB03AFFEFDA0}" destId="{C1E43B74-F442-490E-9D1B-0ECC1FF6EFED}" srcOrd="0" destOrd="0" presId="urn:microsoft.com/office/officeart/2005/8/layout/orgChart1#1"/>
    <dgm:cxn modelId="{9D57969E-03A7-4B5C-AA41-14CDADF59C03}" type="presOf" srcId="{2E36FDFF-8735-4D6E-A9EC-EE14AD8CF192}" destId="{A031B46C-4604-4E02-9D84-E6108BF1063D}" srcOrd="1" destOrd="0" presId="urn:microsoft.com/office/officeart/2005/8/layout/orgChart1#1"/>
    <dgm:cxn modelId="{50A3BA9F-30C4-47A3-98F9-EAA851778DFD}" type="presOf" srcId="{42C805C0-DF85-4B54-B26D-844A1BF16B1B}" destId="{5B35775E-DAAE-415B-84FF-54EF53E2191F}" srcOrd="0" destOrd="0" presId="urn:microsoft.com/office/officeart/2005/8/layout/orgChart1#1"/>
    <dgm:cxn modelId="{650A8AA3-D1E7-4CBE-B252-EE502E6B7603}" type="presOf" srcId="{8E283093-32A4-4B96-9DD9-96741F4250E2}" destId="{0455ABD4-6FDA-4F5A-ABC4-F0BD38673F21}" srcOrd="0" destOrd="0" presId="urn:microsoft.com/office/officeart/2005/8/layout/orgChart1#1"/>
    <dgm:cxn modelId="{764AAEA3-B853-4239-8A5F-983D9F87C01F}" srcId="{EA1099C2-EBF6-4922-8478-563EFD1E5128}" destId="{096D03D5-DE86-4AD5-9A49-B12B66E9E46C}" srcOrd="1" destOrd="0" parTransId="{CB2D089B-61D4-4C5C-B160-6D9298E86451}" sibTransId="{A5ED89BB-3B67-49C8-8717-0D3191F92B7B}"/>
    <dgm:cxn modelId="{03F947A6-CA0D-4955-934D-5A19AFE044D2}" srcId="{EA1099C2-EBF6-4922-8478-563EFD1E5128}" destId="{9F0F5E32-C699-483C-9528-87F9B4D7C1AC}" srcOrd="3" destOrd="0" parTransId="{F623CCE9-A988-4C28-979D-7B1893B75839}" sibTransId="{AC461318-D655-4554-BDE8-CA2C55D000AD}"/>
    <dgm:cxn modelId="{B81331A7-BD98-42E8-BCF8-DA299BEBB07D}" type="presOf" srcId="{3B0C3C59-BAA9-4693-9F17-13205E3C4156}" destId="{89183F5B-3F62-42CB-9D08-675320EEAF4E}" srcOrd="0" destOrd="0" presId="urn:microsoft.com/office/officeart/2005/8/layout/orgChart1#1"/>
    <dgm:cxn modelId="{CFE4DBA9-CAF1-4BE5-BE48-C3E2311B8C20}" srcId="{FF1924B3-1A83-4453-AB7F-26286B10289A}" destId="{7619B696-88D0-4B84-917F-823CA56F643C}" srcOrd="4" destOrd="0" parTransId="{49605F3F-BD6B-4765-A7D7-7F7989E8D7B0}" sibTransId="{54847EFE-B4C5-4694-8354-48068C49AF99}"/>
    <dgm:cxn modelId="{D27DEBA9-022F-4810-B6B5-488BAD1811F0}" type="presOf" srcId="{97F155F0-E427-4481-A586-C73E9B07A7E2}" destId="{4B7D7BC3-86F9-4A21-AAE0-26BE3A2E39FD}" srcOrd="0" destOrd="0" presId="urn:microsoft.com/office/officeart/2005/8/layout/orgChart1#1"/>
    <dgm:cxn modelId="{DD8373AB-4B8C-4E71-8D68-89A989D8F7CD}" type="presOf" srcId="{81FF7A03-D349-4867-8CC1-A406A7F5F8A8}" destId="{397787AF-C5C9-4F96-BF64-364D6F950985}" srcOrd="0" destOrd="0" presId="urn:microsoft.com/office/officeart/2005/8/layout/orgChart1#1"/>
    <dgm:cxn modelId="{43DE95AB-2A57-425E-B37F-731B4866D4CC}" srcId="{096D03D5-DE86-4AD5-9A49-B12B66E9E46C}" destId="{43476426-3466-40A4-A5AC-106ED74E27E2}" srcOrd="0" destOrd="0" parTransId="{87777633-8E0C-48AB-8B79-7217BA570FAB}" sibTransId="{98D17358-B614-4297-9B78-ADC172C4CAC4}"/>
    <dgm:cxn modelId="{2B4453AC-2D8F-461C-9903-0801CE528803}" type="presOf" srcId="{43476426-3466-40A4-A5AC-106ED74E27E2}" destId="{46190AB5-6B7D-4545-B8D1-BB588F6E928E}" srcOrd="1" destOrd="0" presId="urn:microsoft.com/office/officeart/2005/8/layout/orgChart1#1"/>
    <dgm:cxn modelId="{C0F375AC-EA96-4996-8B3C-A5D5C44A7FE7}" type="presOf" srcId="{49605F3F-BD6B-4765-A7D7-7F7989E8D7B0}" destId="{46785927-9F93-4267-81E0-D8D2A2E69A5A}" srcOrd="0" destOrd="0" presId="urn:microsoft.com/office/officeart/2005/8/layout/orgChart1#1"/>
    <dgm:cxn modelId="{BCD165AD-1306-4E97-BB73-13554394DA27}" type="presOf" srcId="{9F0F5E32-C699-483C-9528-87F9B4D7C1AC}" destId="{71C759E5-A01F-4DD1-A0A1-86AFA232F979}" srcOrd="0" destOrd="0" presId="urn:microsoft.com/office/officeart/2005/8/layout/orgChart1#1"/>
    <dgm:cxn modelId="{113FEFB6-93AE-48A6-A1CA-98EA70990C48}" type="presOf" srcId="{67726A67-4DC9-4FFE-BFD6-09284ED8D04F}" destId="{A3589812-09FB-47D7-8AF5-5B8B8B249DB2}" srcOrd="0" destOrd="0" presId="urn:microsoft.com/office/officeart/2005/8/layout/orgChart1#1"/>
    <dgm:cxn modelId="{DAA9B8B7-E597-4664-AC18-59D70367DB0D}" srcId="{FF1924B3-1A83-4453-AB7F-26286B10289A}" destId="{019D9886-FE21-4042-BD8C-1E610498E706}" srcOrd="0" destOrd="0" parTransId="{BCCC9C7F-ECD1-4478-BE23-560985E9D02A}" sibTransId="{C976EA60-AA00-43E3-891D-1F9B2F3EDDDD}"/>
    <dgm:cxn modelId="{C6A211BA-F7F7-4AA3-9CCD-EA1B7FE4BFF3}" type="presOf" srcId="{DBCEFC0D-4A74-454F-80B7-88B53E62673B}" destId="{7A441A33-DE78-432A-903D-2C2077868252}" srcOrd="0" destOrd="0" presId="urn:microsoft.com/office/officeart/2005/8/layout/orgChart1#1"/>
    <dgm:cxn modelId="{12586BBB-3A0C-41E0-B2A1-C7F246CA569D}" type="presOf" srcId="{A4D7EA2D-FD3B-4339-A0E3-052C4EC4BFD6}" destId="{A7DC2473-0E1A-477C-8419-9E0CE8623E58}" srcOrd="0" destOrd="0" presId="urn:microsoft.com/office/officeart/2005/8/layout/orgChart1#1"/>
    <dgm:cxn modelId="{900933BD-6515-4623-8453-17CB93D6B3F7}" type="presOf" srcId="{4F543FE2-C417-4356-918C-29ADB87B70D7}" destId="{F3172634-F213-4CCD-9377-916EE95E6FEB}" srcOrd="0" destOrd="0" presId="urn:microsoft.com/office/officeart/2005/8/layout/orgChart1#1"/>
    <dgm:cxn modelId="{0AFFEAC2-B0D6-4B8D-9F24-5343066431FF}" type="presOf" srcId="{A4D7EA2D-FD3B-4339-A0E3-052C4EC4BFD6}" destId="{350EDFBE-8956-41F0-BDD9-C57085E390FA}" srcOrd="1" destOrd="0" presId="urn:microsoft.com/office/officeart/2005/8/layout/orgChart1#1"/>
    <dgm:cxn modelId="{81750BC4-959E-45E2-B808-A5909E62777E}" type="presOf" srcId="{096D03D5-DE86-4AD5-9A49-B12B66E9E46C}" destId="{68E0F6D3-BF63-4491-857F-52AADC5F2158}" srcOrd="0" destOrd="0" presId="urn:microsoft.com/office/officeart/2005/8/layout/orgChart1#1"/>
    <dgm:cxn modelId="{35227DC7-946C-4043-A78C-9834BAB89E4B}" type="presOf" srcId="{DFDC00F3-4ADB-454D-BFB9-38035F15BEA2}" destId="{276C1CC1-7F0C-4CC3-AEC3-CBD756171566}" srcOrd="0" destOrd="0" presId="urn:microsoft.com/office/officeart/2005/8/layout/orgChart1#1"/>
    <dgm:cxn modelId="{03636AC9-B590-4C41-8175-7F30112F3B1E}" srcId="{FF1924B3-1A83-4453-AB7F-26286B10289A}" destId="{A4D7EA2D-FD3B-4339-A0E3-052C4EC4BFD6}" srcOrd="2" destOrd="0" parTransId="{769D7B1E-57CC-4419-A8C3-264566AF0356}" sibTransId="{477E11FC-87FF-4C12-896F-ABE5CECB7901}"/>
    <dgm:cxn modelId="{77FA69CB-609B-4110-9026-E4A138E46BA1}" type="presOf" srcId="{BCCC9C7F-ECD1-4478-BE23-560985E9D02A}" destId="{EC10F496-1CBC-4773-A817-DDDE8531B86E}" srcOrd="0" destOrd="0" presId="urn:microsoft.com/office/officeart/2005/8/layout/orgChart1#1"/>
    <dgm:cxn modelId="{C47872CB-8AD3-4E0C-94AE-26AB6AADBAC6}" type="presOf" srcId="{81FF7A03-D349-4867-8CC1-A406A7F5F8A8}" destId="{1A82A35E-DB20-42E7-9B46-1C785AC1C197}" srcOrd="1" destOrd="0" presId="urn:microsoft.com/office/officeart/2005/8/layout/orgChart1#1"/>
    <dgm:cxn modelId="{C4550FCD-A475-4B26-886E-AD98B7DE0FE2}" type="presOf" srcId="{6C871142-CE56-43CB-AEB8-1FEA60594B4A}" destId="{C4F37858-3F2E-4257-8C4B-029745AEC4D1}" srcOrd="0" destOrd="0" presId="urn:microsoft.com/office/officeart/2005/8/layout/orgChart1#1"/>
    <dgm:cxn modelId="{42D617D4-8AA5-4530-BB0D-A6F9FB06A017}" type="presOf" srcId="{EA1099C2-EBF6-4922-8478-563EFD1E5128}" destId="{70CCACD5-FC43-4DD6-B005-20D1774DD677}" srcOrd="1" destOrd="0" presId="urn:microsoft.com/office/officeart/2005/8/layout/orgChart1#1"/>
    <dgm:cxn modelId="{0156D6D6-11A4-4982-BD3D-FD928B5F4EA8}" type="presOf" srcId="{9F0F5E32-C699-483C-9528-87F9B4D7C1AC}" destId="{5CAF2817-11EB-4CBC-BFF1-ACF2F1B89787}" srcOrd="1" destOrd="0" presId="urn:microsoft.com/office/officeart/2005/8/layout/orgChart1#1"/>
    <dgm:cxn modelId="{6D6DC4D9-1BE8-4ADC-847F-8206CA1B40F2}" type="presOf" srcId="{F9229030-CBE5-45EB-944F-47AB9925CB9C}" destId="{CC347B82-48A6-4EC6-A0D3-821F6BE5985F}" srcOrd="0" destOrd="0" presId="urn:microsoft.com/office/officeart/2005/8/layout/orgChart1#1"/>
    <dgm:cxn modelId="{5004FBDA-4210-40C1-9FF0-24D04823006D}" type="presOf" srcId="{98B656AC-4328-414F-B03D-2A12E591144D}" destId="{468AF7AA-E455-443E-B9C1-6C67E9DC9CF2}" srcOrd="0" destOrd="0" presId="urn:microsoft.com/office/officeart/2005/8/layout/orgChart1#1"/>
    <dgm:cxn modelId="{500A01DC-EADA-49F4-AE32-01897A17E295}" type="presOf" srcId="{DBCEFC0D-4A74-454F-80B7-88B53E62673B}" destId="{FBD61323-BDAC-448A-AF1D-AFB895C8A5B2}" srcOrd="1" destOrd="0" presId="urn:microsoft.com/office/officeart/2005/8/layout/orgChart1#1"/>
    <dgm:cxn modelId="{E1BB44DF-EB82-4F0D-9703-12D10F1228E2}" type="presOf" srcId="{019D9886-FE21-4042-BD8C-1E610498E706}" destId="{47483285-30C6-4570-A940-1E51515E46B3}" srcOrd="0" destOrd="0" presId="urn:microsoft.com/office/officeart/2005/8/layout/orgChart1#1"/>
    <dgm:cxn modelId="{F1706DDF-7BE7-4324-9940-66CE2E493D21}" type="presOf" srcId="{120D8121-C2D3-4013-853A-BB72C191123E}" destId="{D52DC5B6-8E30-4F09-A453-3053DAA342B7}" srcOrd="0" destOrd="0" presId="urn:microsoft.com/office/officeart/2005/8/layout/orgChart1#1"/>
    <dgm:cxn modelId="{031C23E0-978F-4BBF-9D73-0715E0BAD9DF}" type="presOf" srcId="{16B12D21-F826-4D5D-B2F6-D14AB562B686}" destId="{46B393A1-5ED9-4A47-A1C5-FF1683AD125D}" srcOrd="0" destOrd="0" presId="urn:microsoft.com/office/officeart/2005/8/layout/orgChart1#1"/>
    <dgm:cxn modelId="{FF1DAEE6-ADA8-4DFF-AE8E-3B2AE38B770B}" type="presOf" srcId="{23CF0F95-67A8-4769-92C7-8A158D5AF346}" destId="{47B174BE-7074-43D5-8851-FC748908FB6F}" srcOrd="0" destOrd="0" presId="urn:microsoft.com/office/officeart/2005/8/layout/orgChart1#1"/>
    <dgm:cxn modelId="{4524C8E6-4221-4476-8703-4DAB8DD2B0A5}" srcId="{9F0F5E32-C699-483C-9528-87F9B4D7C1AC}" destId="{C2E010DC-331B-43D6-8444-C0B1199981A4}" srcOrd="4" destOrd="0" parTransId="{DFDC00F3-4ADB-454D-BFB9-38035F15BEA2}" sibTransId="{01AEAA86-B762-4B7A-9A3C-3394D78515D8}"/>
    <dgm:cxn modelId="{ABC98EEA-456E-4F3A-9594-A8292171B234}" type="presOf" srcId="{895714DC-8506-4A23-B05F-1BA4EF80BA43}" destId="{1793880F-F3C9-422E-81B0-7A1A7D51FA33}" srcOrd="0" destOrd="0" presId="urn:microsoft.com/office/officeart/2005/8/layout/orgChart1#1"/>
    <dgm:cxn modelId="{05B707EF-4FC6-4B09-BA2C-8E53F34DFA35}" srcId="{9F0F5E32-C699-483C-9528-87F9B4D7C1AC}" destId="{946ACC72-FFFB-46CE-A41E-4C1F595731CB}" srcOrd="1" destOrd="0" parTransId="{77D26BE7-E107-4C4B-9C61-D0E38611F73C}" sibTransId="{5A39BE74-44CE-4CB9-8E75-819BE2EAF571}"/>
    <dgm:cxn modelId="{68604FF0-D35A-4824-97E4-5E303D1ACA4D}" srcId="{C5D17B15-7B1A-4BF8-9FCC-23A201EAF9F9}" destId="{16B12D21-F826-4D5D-B2F6-D14AB562B686}" srcOrd="6" destOrd="0" parTransId="{3B0C3C59-BAA9-4693-9F17-13205E3C4156}" sibTransId="{43F8792A-F7D7-4E98-82BE-0B290D6B4475}"/>
    <dgm:cxn modelId="{FF788AF0-E70D-4E44-ABC0-7AE5F5DE41BF}" type="presOf" srcId="{CB2D089B-61D4-4C5C-B160-6D9298E86451}" destId="{F62A1C71-F3DB-48DF-AFCF-7727F2074097}" srcOrd="0" destOrd="0" presId="urn:microsoft.com/office/officeart/2005/8/layout/orgChart1#1"/>
    <dgm:cxn modelId="{7FC9BEF1-732E-460C-814F-4CF2611B2C85}" type="presOf" srcId="{7915736E-329E-4389-B026-A4F6391953C3}" destId="{D91D2494-6542-426F-95EC-524A3E6C6E9E}" srcOrd="0" destOrd="0" presId="urn:microsoft.com/office/officeart/2005/8/layout/orgChart1#1"/>
    <dgm:cxn modelId="{D75EECF1-3108-40CA-B50E-AD655740AFC3}" type="presOf" srcId="{01ECA6C3-51F0-4FC7-8491-256CE7E0DBC1}" destId="{D5877B22-CFE7-4DE0-BACB-E973394F64BA}" srcOrd="0" destOrd="0" presId="urn:microsoft.com/office/officeart/2005/8/layout/orgChart1#1"/>
    <dgm:cxn modelId="{9BC461F4-E821-49FD-83BC-83F62A48B01A}" type="presOf" srcId="{13483CD8-6237-4CDC-AE88-BC3F1AD7C33B}" destId="{39EBA711-0857-4E98-B0EB-049C94ED6786}" srcOrd="0" destOrd="0" presId="urn:microsoft.com/office/officeart/2005/8/layout/orgChart1#1"/>
    <dgm:cxn modelId="{B18ECAFA-C6F7-47B0-A36D-070125968B76}" type="presOf" srcId="{E3C0A578-CD3D-426B-BE82-14D8CCD84311}" destId="{30B696BC-FEC8-49CF-B27C-034B7BE5DB3E}" srcOrd="0" destOrd="0" presId="urn:microsoft.com/office/officeart/2005/8/layout/orgChart1#1"/>
    <dgm:cxn modelId="{04B5DCFC-12F0-43C2-ADE2-417244E32CE1}" type="presOf" srcId="{EA1099C2-EBF6-4922-8478-563EFD1E5128}" destId="{0AE86E30-06FE-4E2D-9C89-37197C6D2B29}" srcOrd="0" destOrd="0" presId="urn:microsoft.com/office/officeart/2005/8/layout/orgChart1#1"/>
    <dgm:cxn modelId="{C5390BFE-8C85-43AA-8046-4F6EFB1E773B}" type="presOf" srcId="{895714DC-8506-4A23-B05F-1BA4EF80BA43}" destId="{41812A26-035B-4167-AE36-81AA0CF9FB98}" srcOrd="1" destOrd="0" presId="urn:microsoft.com/office/officeart/2005/8/layout/orgChart1#1"/>
    <dgm:cxn modelId="{F091F3F3-0CCB-43D7-B76E-D2A17FE4464A}" type="presParOf" srcId="{0455ABD4-6FDA-4F5A-ABC4-F0BD38673F21}" destId="{2ED470C0-9B04-4B58-A984-FF7B871EC381}" srcOrd="0" destOrd="0" presId="urn:microsoft.com/office/officeart/2005/8/layout/orgChart1#1"/>
    <dgm:cxn modelId="{26E5CE6C-3AA3-441D-9847-40AA8AA75742}" type="presParOf" srcId="{2ED470C0-9B04-4B58-A984-FF7B871EC381}" destId="{52DB0C86-258E-43CA-83C0-1440152EBCC3}" srcOrd="0" destOrd="0" presId="urn:microsoft.com/office/officeart/2005/8/layout/orgChart1#1"/>
    <dgm:cxn modelId="{C979EA54-E5F0-4A25-9966-2CA726825F02}" type="presParOf" srcId="{52DB0C86-258E-43CA-83C0-1440152EBCC3}" destId="{0AE86E30-06FE-4E2D-9C89-37197C6D2B29}" srcOrd="0" destOrd="0" presId="urn:microsoft.com/office/officeart/2005/8/layout/orgChart1#1"/>
    <dgm:cxn modelId="{63BDFE3A-BB60-46C7-A6A4-ACC66C231896}" type="presParOf" srcId="{52DB0C86-258E-43CA-83C0-1440152EBCC3}" destId="{70CCACD5-FC43-4DD6-B005-20D1774DD677}" srcOrd="1" destOrd="0" presId="urn:microsoft.com/office/officeart/2005/8/layout/orgChart1#1"/>
    <dgm:cxn modelId="{29B56745-2689-4462-ACD3-2C836DCF6565}" type="presParOf" srcId="{2ED470C0-9B04-4B58-A984-FF7B871EC381}" destId="{5CA9529B-DBDD-4C9A-B812-8D336E0CCC52}" srcOrd="1" destOrd="0" presId="urn:microsoft.com/office/officeart/2005/8/layout/orgChart1#1"/>
    <dgm:cxn modelId="{AF0157A9-A785-4A78-9669-26BC2F9C49D9}" type="presParOf" srcId="{5CA9529B-DBDD-4C9A-B812-8D336E0CCC52}" destId="{5B35775E-DAAE-415B-84FF-54EF53E2191F}" srcOrd="0" destOrd="0" presId="urn:microsoft.com/office/officeart/2005/8/layout/orgChart1#1"/>
    <dgm:cxn modelId="{C08BE9E9-EC8A-4CFE-AE0E-CE3E246840DE}" type="presParOf" srcId="{5CA9529B-DBDD-4C9A-B812-8D336E0CCC52}" destId="{1CBD8EC9-47B0-47C6-BD5B-A16A091A9E68}" srcOrd="1" destOrd="0" presId="urn:microsoft.com/office/officeart/2005/8/layout/orgChart1#1"/>
    <dgm:cxn modelId="{549E9A12-487B-4BFF-88A4-30C295DA15EA}" type="presParOf" srcId="{1CBD8EC9-47B0-47C6-BD5B-A16A091A9E68}" destId="{04B5845D-B495-4D22-B6EE-12ECE295ABC2}" srcOrd="0" destOrd="0" presId="urn:microsoft.com/office/officeart/2005/8/layout/orgChart1#1"/>
    <dgm:cxn modelId="{D5E6B2F5-E829-48B0-B684-983E212E7C99}" type="presParOf" srcId="{04B5845D-B495-4D22-B6EE-12ECE295ABC2}" destId="{15D5A321-F15D-434C-8920-BC20B74C763F}" srcOrd="0" destOrd="0" presId="urn:microsoft.com/office/officeart/2005/8/layout/orgChart1#1"/>
    <dgm:cxn modelId="{60CA3B63-C280-4C71-A7F2-67EDE7832311}" type="presParOf" srcId="{04B5845D-B495-4D22-B6EE-12ECE295ABC2}" destId="{4906DA2B-FBB3-410E-8D00-4F36EFC9C5AC}" srcOrd="1" destOrd="0" presId="urn:microsoft.com/office/officeart/2005/8/layout/orgChart1#1"/>
    <dgm:cxn modelId="{0E252F7D-63DD-47B2-8E49-BA09D35733EE}" type="presParOf" srcId="{1CBD8EC9-47B0-47C6-BD5B-A16A091A9E68}" destId="{CE697748-6DF4-4815-8578-DF7C8739F614}" srcOrd="1" destOrd="0" presId="urn:microsoft.com/office/officeart/2005/8/layout/orgChart1#1"/>
    <dgm:cxn modelId="{2CD1CEEC-2704-4D03-8BDB-8CEF29D43B34}" type="presParOf" srcId="{1CBD8EC9-47B0-47C6-BD5B-A16A091A9E68}" destId="{8023748C-B39E-4972-AF24-F0C77A821470}" srcOrd="2" destOrd="0" presId="urn:microsoft.com/office/officeart/2005/8/layout/orgChart1#1"/>
    <dgm:cxn modelId="{37EF5A8D-F622-4582-A483-C1B09DB056BE}" type="presParOf" srcId="{5CA9529B-DBDD-4C9A-B812-8D336E0CCC52}" destId="{F62A1C71-F3DB-48DF-AFCF-7727F2074097}" srcOrd="2" destOrd="0" presId="urn:microsoft.com/office/officeart/2005/8/layout/orgChart1#1"/>
    <dgm:cxn modelId="{860B5DA2-B898-443E-8AF9-A307489882C7}" type="presParOf" srcId="{5CA9529B-DBDD-4C9A-B812-8D336E0CCC52}" destId="{CE4C1D57-EEEA-40A4-A177-009BC207D914}" srcOrd="3" destOrd="0" presId="urn:microsoft.com/office/officeart/2005/8/layout/orgChart1#1"/>
    <dgm:cxn modelId="{755C06D1-2441-4C04-84BA-537D86E2B98F}" type="presParOf" srcId="{CE4C1D57-EEEA-40A4-A177-009BC207D914}" destId="{9E2A6918-EA46-46F6-B4F4-3E33A951409E}" srcOrd="0" destOrd="0" presId="urn:microsoft.com/office/officeart/2005/8/layout/orgChart1#1"/>
    <dgm:cxn modelId="{C5A4A862-3A6A-4B85-9721-16F057D271C2}" type="presParOf" srcId="{9E2A6918-EA46-46F6-B4F4-3E33A951409E}" destId="{68E0F6D3-BF63-4491-857F-52AADC5F2158}" srcOrd="0" destOrd="0" presId="urn:microsoft.com/office/officeart/2005/8/layout/orgChart1#1"/>
    <dgm:cxn modelId="{7A6822E4-C856-40AF-94F8-711B92E87725}" type="presParOf" srcId="{9E2A6918-EA46-46F6-B4F4-3E33A951409E}" destId="{2B7B0ADD-747A-4F9C-A6A7-3B1089C19F4D}" srcOrd="1" destOrd="0" presId="urn:microsoft.com/office/officeart/2005/8/layout/orgChart1#1"/>
    <dgm:cxn modelId="{C88ED0E1-5000-4BB7-ADFB-D295935F06B5}" type="presParOf" srcId="{CE4C1D57-EEEA-40A4-A177-009BC207D914}" destId="{22E94DD1-FE8E-4754-ADBA-A433D44E2C04}" srcOrd="1" destOrd="0" presId="urn:microsoft.com/office/officeart/2005/8/layout/orgChart1#1"/>
    <dgm:cxn modelId="{5E2C78C2-CA57-4A01-8A12-7AA161AD9203}" type="presParOf" srcId="{22E94DD1-FE8E-4754-ADBA-A433D44E2C04}" destId="{CA563783-94E8-471C-BA0C-BB452DC9C262}" srcOrd="0" destOrd="0" presId="urn:microsoft.com/office/officeart/2005/8/layout/orgChart1#1"/>
    <dgm:cxn modelId="{7EA30AB3-0D2B-4BE1-8F60-64BC14CCE079}" type="presParOf" srcId="{22E94DD1-FE8E-4754-ADBA-A433D44E2C04}" destId="{3CC75E15-DC7C-4B88-8ADD-BA689CD781D4}" srcOrd="1" destOrd="0" presId="urn:microsoft.com/office/officeart/2005/8/layout/orgChart1#1"/>
    <dgm:cxn modelId="{8C9BC879-8CD5-473B-B998-0527DAD77D97}" type="presParOf" srcId="{3CC75E15-DC7C-4B88-8ADD-BA689CD781D4}" destId="{A79BCF90-EC61-4528-904A-A9F381ED0607}" srcOrd="0" destOrd="0" presId="urn:microsoft.com/office/officeart/2005/8/layout/orgChart1#1"/>
    <dgm:cxn modelId="{6ADDA85B-3086-41FD-928C-4AD8055A3E15}" type="presParOf" srcId="{A79BCF90-EC61-4528-904A-A9F381ED0607}" destId="{719FFC00-67ED-4259-9901-A0AA8C8B47F4}" srcOrd="0" destOrd="0" presId="urn:microsoft.com/office/officeart/2005/8/layout/orgChart1#1"/>
    <dgm:cxn modelId="{0FCC967C-BAC8-44F6-B4CF-C6EBA3A575A9}" type="presParOf" srcId="{A79BCF90-EC61-4528-904A-A9F381ED0607}" destId="{46190AB5-6B7D-4545-B8D1-BB588F6E928E}" srcOrd="1" destOrd="0" presId="urn:microsoft.com/office/officeart/2005/8/layout/orgChart1#1"/>
    <dgm:cxn modelId="{D8F20DAC-0A15-4AA9-ADDF-0E4DB747638D}" type="presParOf" srcId="{3CC75E15-DC7C-4B88-8ADD-BA689CD781D4}" destId="{6CBD98C8-5490-4F9E-90E2-38BCA2B5E9D0}" srcOrd="1" destOrd="0" presId="urn:microsoft.com/office/officeart/2005/8/layout/orgChart1#1"/>
    <dgm:cxn modelId="{CAE03CD1-BEB3-4A70-BF8C-49873B7462A0}" type="presParOf" srcId="{3CC75E15-DC7C-4B88-8ADD-BA689CD781D4}" destId="{7297FC7E-4C0D-4903-931D-816FECEEA465}" srcOrd="2" destOrd="0" presId="urn:microsoft.com/office/officeart/2005/8/layout/orgChart1#1"/>
    <dgm:cxn modelId="{D1FEB84D-E87F-475D-B272-C9720A0972DA}" type="presParOf" srcId="{CE4C1D57-EEEA-40A4-A177-009BC207D914}" destId="{90B2644C-4D37-4856-89F4-2850D7134091}" srcOrd="2" destOrd="0" presId="urn:microsoft.com/office/officeart/2005/8/layout/orgChart1#1"/>
    <dgm:cxn modelId="{8D16359B-7EB1-428B-B279-139FA2AC5D78}" type="presParOf" srcId="{5CA9529B-DBDD-4C9A-B812-8D336E0CCC52}" destId="{C4F37858-3F2E-4257-8C4B-029745AEC4D1}" srcOrd="4" destOrd="0" presId="urn:microsoft.com/office/officeart/2005/8/layout/orgChart1#1"/>
    <dgm:cxn modelId="{4744AB11-AB32-4154-B772-4FBA7B71246B}" type="presParOf" srcId="{5CA9529B-DBDD-4C9A-B812-8D336E0CCC52}" destId="{101F35F7-039F-4211-979D-3C96C1A7C67A}" srcOrd="5" destOrd="0" presId="urn:microsoft.com/office/officeart/2005/8/layout/orgChart1#1"/>
    <dgm:cxn modelId="{79DCC312-47AA-421F-BA0F-8AE07ED93174}" type="presParOf" srcId="{101F35F7-039F-4211-979D-3C96C1A7C67A}" destId="{3CC66828-CD6A-42E5-9613-CFF28B770A10}" srcOrd="0" destOrd="0" presId="urn:microsoft.com/office/officeart/2005/8/layout/orgChart1#1"/>
    <dgm:cxn modelId="{F1AAC95E-B1F1-40D9-A2D4-FC0AC7E39D5A}" type="presParOf" srcId="{3CC66828-CD6A-42E5-9613-CFF28B770A10}" destId="{49B89AF1-97DD-47C1-BC7A-C7AA47A3E051}" srcOrd="0" destOrd="0" presId="urn:microsoft.com/office/officeart/2005/8/layout/orgChart1#1"/>
    <dgm:cxn modelId="{F8D67AF9-6B82-4062-A964-99FECEF215E6}" type="presParOf" srcId="{3CC66828-CD6A-42E5-9613-CFF28B770A10}" destId="{70A454C8-0610-473B-991F-2665A23794BB}" srcOrd="1" destOrd="0" presId="urn:microsoft.com/office/officeart/2005/8/layout/orgChart1#1"/>
    <dgm:cxn modelId="{266583A2-97BE-4BEE-98BA-9EC41A84A774}" type="presParOf" srcId="{101F35F7-039F-4211-979D-3C96C1A7C67A}" destId="{FC3BD64D-A1AE-42B8-9388-B871A2A580FE}" srcOrd="1" destOrd="0" presId="urn:microsoft.com/office/officeart/2005/8/layout/orgChart1#1"/>
    <dgm:cxn modelId="{8B6777AD-1C5D-4F3F-8C59-0367A030EA45}" type="presParOf" srcId="{FC3BD64D-A1AE-42B8-9388-B871A2A580FE}" destId="{EC10F496-1CBC-4773-A817-DDDE8531B86E}" srcOrd="0" destOrd="0" presId="urn:microsoft.com/office/officeart/2005/8/layout/orgChart1#1"/>
    <dgm:cxn modelId="{C88214CB-0F24-40EA-9546-038363D7D576}" type="presParOf" srcId="{FC3BD64D-A1AE-42B8-9388-B871A2A580FE}" destId="{BFDAAA8C-8F1C-40D5-B40B-D42FA37D39B6}" srcOrd="1" destOrd="0" presId="urn:microsoft.com/office/officeart/2005/8/layout/orgChart1#1"/>
    <dgm:cxn modelId="{3DD4697A-B229-4753-A389-439B5CB53E9F}" type="presParOf" srcId="{BFDAAA8C-8F1C-40D5-B40B-D42FA37D39B6}" destId="{206DF9A2-85FF-436F-87DB-4A4BC8977FBA}" srcOrd="0" destOrd="0" presId="urn:microsoft.com/office/officeart/2005/8/layout/orgChart1#1"/>
    <dgm:cxn modelId="{47E10E12-4564-413A-BDAD-E1807FEBB032}" type="presParOf" srcId="{206DF9A2-85FF-436F-87DB-4A4BC8977FBA}" destId="{47483285-30C6-4570-A940-1E51515E46B3}" srcOrd="0" destOrd="0" presId="urn:microsoft.com/office/officeart/2005/8/layout/orgChart1#1"/>
    <dgm:cxn modelId="{6DB34EEB-F580-4A90-AA29-DCCBCF1E46C0}" type="presParOf" srcId="{206DF9A2-85FF-436F-87DB-4A4BC8977FBA}" destId="{2A09611D-DD36-4378-9ACC-B315EC6CD6B1}" srcOrd="1" destOrd="0" presId="urn:microsoft.com/office/officeart/2005/8/layout/orgChart1#1"/>
    <dgm:cxn modelId="{06654D9D-8672-40C3-91A9-B7BF4EA22E61}" type="presParOf" srcId="{BFDAAA8C-8F1C-40D5-B40B-D42FA37D39B6}" destId="{BAD8B752-202F-4B3B-96BF-FB8F853BA781}" srcOrd="1" destOrd="0" presId="urn:microsoft.com/office/officeart/2005/8/layout/orgChart1#1"/>
    <dgm:cxn modelId="{FAD44EBB-7F72-4EB5-9B69-3478BA9CBDE4}" type="presParOf" srcId="{BFDAAA8C-8F1C-40D5-B40B-D42FA37D39B6}" destId="{761FDD95-8C72-43C6-A771-1F2159A1698C}" srcOrd="2" destOrd="0" presId="urn:microsoft.com/office/officeart/2005/8/layout/orgChart1#1"/>
    <dgm:cxn modelId="{6A2E716F-1C89-457D-BF37-31079AB52E1A}" type="presParOf" srcId="{FC3BD64D-A1AE-42B8-9388-B871A2A580FE}" destId="{4B7D7BC3-86F9-4A21-AAE0-26BE3A2E39FD}" srcOrd="2" destOrd="0" presId="urn:microsoft.com/office/officeart/2005/8/layout/orgChart1#1"/>
    <dgm:cxn modelId="{1C2E2DB7-BCB0-47AD-9CE7-AB3C4DBA9350}" type="presParOf" srcId="{FC3BD64D-A1AE-42B8-9388-B871A2A580FE}" destId="{5CBCF343-7979-45AC-B9A2-6EAE587B118E}" srcOrd="3" destOrd="0" presId="urn:microsoft.com/office/officeart/2005/8/layout/orgChart1#1"/>
    <dgm:cxn modelId="{8651E9FD-351B-4B40-B762-D34C7940B989}" type="presParOf" srcId="{5CBCF343-7979-45AC-B9A2-6EAE587B118E}" destId="{B4814CC3-AB6D-4959-A3B9-3F4EECB246D4}" srcOrd="0" destOrd="0" presId="urn:microsoft.com/office/officeart/2005/8/layout/orgChart1#1"/>
    <dgm:cxn modelId="{ED72A72E-8A0F-46F6-901E-60A3E26662C3}" type="presParOf" srcId="{B4814CC3-AB6D-4959-A3B9-3F4EECB246D4}" destId="{D4103C60-95B9-4278-973A-4CA83D5F3C23}" srcOrd="0" destOrd="0" presId="urn:microsoft.com/office/officeart/2005/8/layout/orgChart1#1"/>
    <dgm:cxn modelId="{56B43E90-CC21-4D39-98AF-6A9B157A03E0}" type="presParOf" srcId="{B4814CC3-AB6D-4959-A3B9-3F4EECB246D4}" destId="{7B5D60F8-1563-4E59-B150-3195B6B461AB}" srcOrd="1" destOrd="0" presId="urn:microsoft.com/office/officeart/2005/8/layout/orgChart1#1"/>
    <dgm:cxn modelId="{0011AF99-2D11-494B-BBE3-B81E7909AE7E}" type="presParOf" srcId="{5CBCF343-7979-45AC-B9A2-6EAE587B118E}" destId="{FD014A51-7809-4CC9-BC16-A1DE1980FEFF}" srcOrd="1" destOrd="0" presId="urn:microsoft.com/office/officeart/2005/8/layout/orgChart1#1"/>
    <dgm:cxn modelId="{5A6118C8-AB19-44C7-A7C7-8D25E3FDBC9F}" type="presParOf" srcId="{5CBCF343-7979-45AC-B9A2-6EAE587B118E}" destId="{C53DD30E-3C84-45D0-B2F9-CDF125859DB9}" srcOrd="2" destOrd="0" presId="urn:microsoft.com/office/officeart/2005/8/layout/orgChart1#1"/>
    <dgm:cxn modelId="{4EC89F73-9517-4600-846F-8ACB1F757080}" type="presParOf" srcId="{FC3BD64D-A1AE-42B8-9388-B871A2A580FE}" destId="{DF3C2526-65A4-4E0E-B15E-50150D0378DC}" srcOrd="4" destOrd="0" presId="urn:microsoft.com/office/officeart/2005/8/layout/orgChart1#1"/>
    <dgm:cxn modelId="{1F492666-B775-4282-93C2-1F4A37CCD360}" type="presParOf" srcId="{FC3BD64D-A1AE-42B8-9388-B871A2A580FE}" destId="{3C486556-5D1B-450F-8965-0FD1B34734E9}" srcOrd="5" destOrd="0" presId="urn:microsoft.com/office/officeart/2005/8/layout/orgChart1#1"/>
    <dgm:cxn modelId="{0C2242BF-8E7C-4B94-A16E-26AA1F6070DB}" type="presParOf" srcId="{3C486556-5D1B-450F-8965-0FD1B34734E9}" destId="{2A8BF4FE-04FB-4B53-B450-8E8DC47BCE37}" srcOrd="0" destOrd="0" presId="urn:microsoft.com/office/officeart/2005/8/layout/orgChart1#1"/>
    <dgm:cxn modelId="{19310ACF-4CB0-46CA-8D69-8E961F22F723}" type="presParOf" srcId="{2A8BF4FE-04FB-4B53-B450-8E8DC47BCE37}" destId="{A7DC2473-0E1A-477C-8419-9E0CE8623E58}" srcOrd="0" destOrd="0" presId="urn:microsoft.com/office/officeart/2005/8/layout/orgChart1#1"/>
    <dgm:cxn modelId="{0E3E499C-575D-45AD-AF79-FD74B0389397}" type="presParOf" srcId="{2A8BF4FE-04FB-4B53-B450-8E8DC47BCE37}" destId="{350EDFBE-8956-41F0-BDD9-C57085E390FA}" srcOrd="1" destOrd="0" presId="urn:microsoft.com/office/officeart/2005/8/layout/orgChart1#1"/>
    <dgm:cxn modelId="{F4EC1A3C-DA44-45E5-8660-AC84F9C8A798}" type="presParOf" srcId="{3C486556-5D1B-450F-8965-0FD1B34734E9}" destId="{7D219FBC-674E-4D3F-9965-3DCCC8CE49E2}" srcOrd="1" destOrd="0" presId="urn:microsoft.com/office/officeart/2005/8/layout/orgChart1#1"/>
    <dgm:cxn modelId="{360D160E-3D5E-4C9E-8DA6-6B0067D0DC85}" type="presParOf" srcId="{3C486556-5D1B-450F-8965-0FD1B34734E9}" destId="{472A3949-C21D-4386-A836-A71827C034E2}" srcOrd="2" destOrd="0" presId="urn:microsoft.com/office/officeart/2005/8/layout/orgChart1#1"/>
    <dgm:cxn modelId="{71D156B3-C75E-4742-A9B9-B5FBC381F4DD}" type="presParOf" srcId="{FC3BD64D-A1AE-42B8-9388-B871A2A580FE}" destId="{EF75A677-BEFE-43F8-B8D3-531BE0301C38}" srcOrd="6" destOrd="0" presId="urn:microsoft.com/office/officeart/2005/8/layout/orgChart1#1"/>
    <dgm:cxn modelId="{1DB194C3-925C-499F-8605-325256606629}" type="presParOf" srcId="{FC3BD64D-A1AE-42B8-9388-B871A2A580FE}" destId="{901D092A-3184-41B8-8B07-B4D239374A7A}" srcOrd="7" destOrd="0" presId="urn:microsoft.com/office/officeart/2005/8/layout/orgChart1#1"/>
    <dgm:cxn modelId="{36131BFA-6624-4232-A40A-D673485BD8B5}" type="presParOf" srcId="{901D092A-3184-41B8-8B07-B4D239374A7A}" destId="{EEFADC2B-7EFF-4541-B5F6-2536E143071C}" srcOrd="0" destOrd="0" presId="urn:microsoft.com/office/officeart/2005/8/layout/orgChart1#1"/>
    <dgm:cxn modelId="{A202F45B-8121-4BB2-B4E8-F9BE1F21C294}" type="presParOf" srcId="{EEFADC2B-7EFF-4541-B5F6-2536E143071C}" destId="{6054E834-8112-4BF6-AC92-17639A640AEF}" srcOrd="0" destOrd="0" presId="urn:microsoft.com/office/officeart/2005/8/layout/orgChart1#1"/>
    <dgm:cxn modelId="{FEF0110C-CC23-4E78-B9FC-A0DABC8090AA}" type="presParOf" srcId="{EEFADC2B-7EFF-4541-B5F6-2536E143071C}" destId="{872AC66D-5BAE-499E-ADC5-0D9341EAE656}" srcOrd="1" destOrd="0" presId="urn:microsoft.com/office/officeart/2005/8/layout/orgChart1#1"/>
    <dgm:cxn modelId="{DAABFD99-FB41-4C16-B3C6-CC6DCB58ABA0}" type="presParOf" srcId="{901D092A-3184-41B8-8B07-B4D239374A7A}" destId="{42D46DB3-CFE6-487A-B50A-D1B636657578}" srcOrd="1" destOrd="0" presId="urn:microsoft.com/office/officeart/2005/8/layout/orgChart1#1"/>
    <dgm:cxn modelId="{579CA91D-F404-4B5C-B087-27D0092C1D51}" type="presParOf" srcId="{901D092A-3184-41B8-8B07-B4D239374A7A}" destId="{BFAB863A-BB94-469D-B8DD-B46F2FD5CA4C}" srcOrd="2" destOrd="0" presId="urn:microsoft.com/office/officeart/2005/8/layout/orgChart1#1"/>
    <dgm:cxn modelId="{FC774B21-E6DB-4944-A110-6F0FB06230B7}" type="presParOf" srcId="{FC3BD64D-A1AE-42B8-9388-B871A2A580FE}" destId="{46785927-9F93-4267-81E0-D8D2A2E69A5A}" srcOrd="8" destOrd="0" presId="urn:microsoft.com/office/officeart/2005/8/layout/orgChart1#1"/>
    <dgm:cxn modelId="{B917202B-055C-4A8E-8053-19A41B3AEFE7}" type="presParOf" srcId="{FC3BD64D-A1AE-42B8-9388-B871A2A580FE}" destId="{58D4C42C-4F01-4CA9-9667-9B464234A930}" srcOrd="9" destOrd="0" presId="urn:microsoft.com/office/officeart/2005/8/layout/orgChart1#1"/>
    <dgm:cxn modelId="{47387ABB-F49B-4F16-86D1-F74F528BDA81}" type="presParOf" srcId="{58D4C42C-4F01-4CA9-9667-9B464234A930}" destId="{4ACEB57D-1B24-4EDC-8A49-3F6FEE10A843}" srcOrd="0" destOrd="0" presId="urn:microsoft.com/office/officeart/2005/8/layout/orgChart1#1"/>
    <dgm:cxn modelId="{166D0E72-10C5-4317-8C2B-DB409B58D353}" type="presParOf" srcId="{4ACEB57D-1B24-4EDC-8A49-3F6FEE10A843}" destId="{2838B24C-0341-47FD-B61F-FC388FD5A058}" srcOrd="0" destOrd="0" presId="urn:microsoft.com/office/officeart/2005/8/layout/orgChart1#1"/>
    <dgm:cxn modelId="{7EA36D56-5DAE-4EE5-A34E-D15180344122}" type="presParOf" srcId="{4ACEB57D-1B24-4EDC-8A49-3F6FEE10A843}" destId="{1CCE46DA-7A0C-4F87-9D06-A511BC6267C0}" srcOrd="1" destOrd="0" presId="urn:microsoft.com/office/officeart/2005/8/layout/orgChart1#1"/>
    <dgm:cxn modelId="{8662196A-C8E4-4DAD-9D0E-9A8F695A0D6B}" type="presParOf" srcId="{58D4C42C-4F01-4CA9-9667-9B464234A930}" destId="{1DFEB1E7-BCDF-4C5E-B87D-388EE0EED96E}" srcOrd="1" destOrd="0" presId="urn:microsoft.com/office/officeart/2005/8/layout/orgChart1#1"/>
    <dgm:cxn modelId="{3AE9F60D-0DA2-4160-BD96-698DB1DF070C}" type="presParOf" srcId="{58D4C42C-4F01-4CA9-9667-9B464234A930}" destId="{5C21BB93-D7C1-4EEB-8695-3E14731602A3}" srcOrd="2" destOrd="0" presId="urn:microsoft.com/office/officeart/2005/8/layout/orgChart1#1"/>
    <dgm:cxn modelId="{D0DE9D56-D75E-47F9-B84A-3129D389D163}" type="presParOf" srcId="{FC3BD64D-A1AE-42B8-9388-B871A2A580FE}" destId="{39EBA711-0857-4E98-B0EB-049C94ED6786}" srcOrd="10" destOrd="0" presId="urn:microsoft.com/office/officeart/2005/8/layout/orgChart1#1"/>
    <dgm:cxn modelId="{4E3C581A-9E99-4110-A41D-DCB81E6B7785}" type="presParOf" srcId="{FC3BD64D-A1AE-42B8-9388-B871A2A580FE}" destId="{66309EFB-F83F-4155-B129-83DD8A97AFFD}" srcOrd="11" destOrd="0" presId="urn:microsoft.com/office/officeart/2005/8/layout/orgChart1#1"/>
    <dgm:cxn modelId="{C153E494-F422-4107-AFF0-6E30C7645AA5}" type="presParOf" srcId="{66309EFB-F83F-4155-B129-83DD8A97AFFD}" destId="{7EF46AF7-118A-4AAB-8C09-F3CCEA77DD41}" srcOrd="0" destOrd="0" presId="urn:microsoft.com/office/officeart/2005/8/layout/orgChart1#1"/>
    <dgm:cxn modelId="{83E20B01-6C3E-4A6E-9588-D5FEEDAA559E}" type="presParOf" srcId="{7EF46AF7-118A-4AAB-8C09-F3CCEA77DD41}" destId="{397787AF-C5C9-4F96-BF64-364D6F950985}" srcOrd="0" destOrd="0" presId="urn:microsoft.com/office/officeart/2005/8/layout/orgChart1#1"/>
    <dgm:cxn modelId="{F70794C6-EF0F-4AA8-9075-F95C6F0B1E01}" type="presParOf" srcId="{7EF46AF7-118A-4AAB-8C09-F3CCEA77DD41}" destId="{1A82A35E-DB20-42E7-9B46-1C785AC1C197}" srcOrd="1" destOrd="0" presId="urn:microsoft.com/office/officeart/2005/8/layout/orgChart1#1"/>
    <dgm:cxn modelId="{ECD76070-C0B8-40A4-80D4-F351F2240C2C}" type="presParOf" srcId="{66309EFB-F83F-4155-B129-83DD8A97AFFD}" destId="{263C4CC2-5825-4ED9-A591-E605D0FC33BB}" srcOrd="1" destOrd="0" presId="urn:microsoft.com/office/officeart/2005/8/layout/orgChart1#1"/>
    <dgm:cxn modelId="{CA5E8F0D-0B2C-4684-85EC-496D37752CC3}" type="presParOf" srcId="{66309EFB-F83F-4155-B129-83DD8A97AFFD}" destId="{355D2003-E1A9-47A8-8582-73E01A41A484}" srcOrd="2" destOrd="0" presId="urn:microsoft.com/office/officeart/2005/8/layout/orgChart1#1"/>
    <dgm:cxn modelId="{E3277621-C543-45E4-A99B-5C7CC787161D}" type="presParOf" srcId="{101F35F7-039F-4211-979D-3C96C1A7C67A}" destId="{6CE19351-B51D-4583-B704-4DBA709F745A}" srcOrd="2" destOrd="0" presId="urn:microsoft.com/office/officeart/2005/8/layout/orgChart1#1"/>
    <dgm:cxn modelId="{EE9DCA5B-375F-48C0-86AB-F4680966B5C6}" type="presParOf" srcId="{5CA9529B-DBDD-4C9A-B812-8D336E0CCC52}" destId="{54A120E2-85BE-45D1-88D1-8DBDDB17D71A}" srcOrd="6" destOrd="0" presId="urn:microsoft.com/office/officeart/2005/8/layout/orgChart1#1"/>
    <dgm:cxn modelId="{9FC1C487-12C3-4650-A7F7-309A229E4E4B}" type="presParOf" srcId="{5CA9529B-DBDD-4C9A-B812-8D336E0CCC52}" destId="{BB4EB009-2A13-4E8E-BE7C-B21FF891D486}" srcOrd="7" destOrd="0" presId="urn:microsoft.com/office/officeart/2005/8/layout/orgChart1#1"/>
    <dgm:cxn modelId="{C1F580E6-21CA-403E-A1DB-73F5743CAF62}" type="presParOf" srcId="{BB4EB009-2A13-4E8E-BE7C-B21FF891D486}" destId="{18AD501B-F1B5-4975-9F57-5C48E0BCAED6}" srcOrd="0" destOrd="0" presId="urn:microsoft.com/office/officeart/2005/8/layout/orgChart1#1"/>
    <dgm:cxn modelId="{A8A40337-9037-42BA-81FB-2FD283A01C42}" type="presParOf" srcId="{18AD501B-F1B5-4975-9F57-5C48E0BCAED6}" destId="{71C759E5-A01F-4DD1-A0A1-86AFA232F979}" srcOrd="0" destOrd="0" presId="urn:microsoft.com/office/officeart/2005/8/layout/orgChart1#1"/>
    <dgm:cxn modelId="{B1793BAD-3DDF-4FDE-AB41-E8A623ADD3FC}" type="presParOf" srcId="{18AD501B-F1B5-4975-9F57-5C48E0BCAED6}" destId="{5CAF2817-11EB-4CBC-BFF1-ACF2F1B89787}" srcOrd="1" destOrd="0" presId="urn:microsoft.com/office/officeart/2005/8/layout/orgChart1#1"/>
    <dgm:cxn modelId="{D45A12C1-090E-4403-96C8-A538264F8D4D}" type="presParOf" srcId="{BB4EB009-2A13-4E8E-BE7C-B21FF891D486}" destId="{9798B751-F908-42D6-8384-29D19E0BF8F4}" srcOrd="1" destOrd="0" presId="urn:microsoft.com/office/officeart/2005/8/layout/orgChart1#1"/>
    <dgm:cxn modelId="{0C5EB514-2AA5-4D38-874F-92C02F0DAC7F}" type="presParOf" srcId="{9798B751-F908-42D6-8384-29D19E0BF8F4}" destId="{4EA13DF4-D5D8-4E3E-A641-06C600C22FA8}" srcOrd="0" destOrd="0" presId="urn:microsoft.com/office/officeart/2005/8/layout/orgChart1#1"/>
    <dgm:cxn modelId="{7C6EECF1-6B1F-493C-A221-C9EA8775857F}" type="presParOf" srcId="{9798B751-F908-42D6-8384-29D19E0BF8F4}" destId="{654C9546-E40A-47C8-A60D-397BDE5FCB8E}" srcOrd="1" destOrd="0" presId="urn:microsoft.com/office/officeart/2005/8/layout/orgChart1#1"/>
    <dgm:cxn modelId="{CFA5DA68-4C87-4E1A-98C8-265CB671023C}" type="presParOf" srcId="{654C9546-E40A-47C8-A60D-397BDE5FCB8E}" destId="{F5357623-9D3B-4831-BF9A-F20554B7E2CE}" srcOrd="0" destOrd="0" presId="urn:microsoft.com/office/officeart/2005/8/layout/orgChart1#1"/>
    <dgm:cxn modelId="{647ABF06-A244-468E-9189-C6929848491C}" type="presParOf" srcId="{F5357623-9D3B-4831-BF9A-F20554B7E2CE}" destId="{8043AE37-95B8-4F0C-B378-765FBFED8EA1}" srcOrd="0" destOrd="0" presId="urn:microsoft.com/office/officeart/2005/8/layout/orgChart1#1"/>
    <dgm:cxn modelId="{066E7609-FE13-43C8-AF33-E99B0FF99656}" type="presParOf" srcId="{F5357623-9D3B-4831-BF9A-F20554B7E2CE}" destId="{EA2B60CC-09AE-489D-B64D-FB35E3B315EB}" srcOrd="1" destOrd="0" presId="urn:microsoft.com/office/officeart/2005/8/layout/orgChart1#1"/>
    <dgm:cxn modelId="{4F1406B4-17E6-4E3B-9BC8-640E089FBC66}" type="presParOf" srcId="{654C9546-E40A-47C8-A60D-397BDE5FCB8E}" destId="{3F3D946A-2291-495D-889A-2F3A1F2B1733}" srcOrd="1" destOrd="0" presId="urn:microsoft.com/office/officeart/2005/8/layout/orgChart1#1"/>
    <dgm:cxn modelId="{B2C582F2-CAD6-4116-B6D3-4B203E636B50}" type="presParOf" srcId="{654C9546-E40A-47C8-A60D-397BDE5FCB8E}" destId="{E03ADD25-259C-4C47-BA29-C55052E9365D}" srcOrd="2" destOrd="0" presId="urn:microsoft.com/office/officeart/2005/8/layout/orgChart1#1"/>
    <dgm:cxn modelId="{6BE14A7C-D8C6-4B3C-BB98-130759E0819C}" type="presParOf" srcId="{9798B751-F908-42D6-8384-29D19E0BF8F4}" destId="{A434E2FC-011A-488D-90DB-A67C266CB62A}" srcOrd="2" destOrd="0" presId="urn:microsoft.com/office/officeart/2005/8/layout/orgChart1#1"/>
    <dgm:cxn modelId="{E213CDD4-9610-4E73-A3F8-30D7AD85CD51}" type="presParOf" srcId="{9798B751-F908-42D6-8384-29D19E0BF8F4}" destId="{0EFC5642-F47A-4655-9D5E-52E1293391ED}" srcOrd="3" destOrd="0" presId="urn:microsoft.com/office/officeart/2005/8/layout/orgChart1#1"/>
    <dgm:cxn modelId="{8ADC2432-42FD-470D-BBCE-17961347674E}" type="presParOf" srcId="{0EFC5642-F47A-4655-9D5E-52E1293391ED}" destId="{EF0C5E6B-FFC0-42C7-96B0-05D95DDA6C1C}" srcOrd="0" destOrd="0" presId="urn:microsoft.com/office/officeart/2005/8/layout/orgChart1#1"/>
    <dgm:cxn modelId="{D035E8F3-7761-45F1-B941-31E46B36BD36}" type="presParOf" srcId="{EF0C5E6B-FFC0-42C7-96B0-05D95DDA6C1C}" destId="{A89C2EC7-FA44-4184-B2D4-86E451C0AB8C}" srcOrd="0" destOrd="0" presId="urn:microsoft.com/office/officeart/2005/8/layout/orgChart1#1"/>
    <dgm:cxn modelId="{943F653D-71BD-47C3-AB5B-CC62E7AACF7B}" type="presParOf" srcId="{EF0C5E6B-FFC0-42C7-96B0-05D95DDA6C1C}" destId="{A8D484FE-4C5C-41DB-BC95-1EC688C91D00}" srcOrd="1" destOrd="0" presId="urn:microsoft.com/office/officeart/2005/8/layout/orgChart1#1"/>
    <dgm:cxn modelId="{5B17C913-1CDB-4714-8FCE-3A02EC45B580}" type="presParOf" srcId="{0EFC5642-F47A-4655-9D5E-52E1293391ED}" destId="{11DF1D4B-86E0-4FF7-BB2A-9395A6CF2A71}" srcOrd="1" destOrd="0" presId="urn:microsoft.com/office/officeart/2005/8/layout/orgChart1#1"/>
    <dgm:cxn modelId="{5ECEFC3B-2F38-4EDB-8AE9-6BE32EE88E28}" type="presParOf" srcId="{0EFC5642-F47A-4655-9D5E-52E1293391ED}" destId="{7F4CCAF1-B262-4E33-9B8B-6C8A294D9FD2}" srcOrd="2" destOrd="0" presId="urn:microsoft.com/office/officeart/2005/8/layout/orgChart1#1"/>
    <dgm:cxn modelId="{E6A89FB5-930B-4D4E-84F7-AB547BF18E1E}" type="presParOf" srcId="{9798B751-F908-42D6-8384-29D19E0BF8F4}" destId="{D25F950A-D266-41E0-8B8B-DE3B414A00EB}" srcOrd="4" destOrd="0" presId="urn:microsoft.com/office/officeart/2005/8/layout/orgChart1#1"/>
    <dgm:cxn modelId="{10011494-F14A-497F-A5D3-961830F1CEA3}" type="presParOf" srcId="{9798B751-F908-42D6-8384-29D19E0BF8F4}" destId="{0D0EB13D-BB78-45EC-A21A-DEAE71CD4C30}" srcOrd="5" destOrd="0" presId="urn:microsoft.com/office/officeart/2005/8/layout/orgChart1#1"/>
    <dgm:cxn modelId="{07967134-95D0-4007-A78B-7EBD6E103842}" type="presParOf" srcId="{0D0EB13D-BB78-45EC-A21A-DEAE71CD4C30}" destId="{359D768B-CF4C-490C-A57C-2DE337CBEBD8}" srcOrd="0" destOrd="0" presId="urn:microsoft.com/office/officeart/2005/8/layout/orgChart1#1"/>
    <dgm:cxn modelId="{59F53486-099F-4339-AC7C-988090442198}" type="presParOf" srcId="{359D768B-CF4C-490C-A57C-2DE337CBEBD8}" destId="{468AF7AA-E455-443E-B9C1-6C67E9DC9CF2}" srcOrd="0" destOrd="0" presId="urn:microsoft.com/office/officeart/2005/8/layout/orgChart1#1"/>
    <dgm:cxn modelId="{C4019549-EE86-467F-A594-F4EDD3099A3F}" type="presParOf" srcId="{359D768B-CF4C-490C-A57C-2DE337CBEBD8}" destId="{7838E614-A789-45DC-B44A-D0531A9DB281}" srcOrd="1" destOrd="0" presId="urn:microsoft.com/office/officeart/2005/8/layout/orgChart1#1"/>
    <dgm:cxn modelId="{4839C98A-DBEA-4B60-80FF-32B280984DF9}" type="presParOf" srcId="{0D0EB13D-BB78-45EC-A21A-DEAE71CD4C30}" destId="{7EF8C513-EF99-457D-9D47-B1BC5428A59E}" srcOrd="1" destOrd="0" presId="urn:microsoft.com/office/officeart/2005/8/layout/orgChart1#1"/>
    <dgm:cxn modelId="{E9EC9FA4-B2D8-4D31-A160-477856A2D51A}" type="presParOf" srcId="{0D0EB13D-BB78-45EC-A21A-DEAE71CD4C30}" destId="{4D46402A-775D-4FB4-8E71-A96708C59CFF}" srcOrd="2" destOrd="0" presId="urn:microsoft.com/office/officeart/2005/8/layout/orgChart1#1"/>
    <dgm:cxn modelId="{AFF04CA3-FEBE-46BF-8201-66DA23E1223E}" type="presParOf" srcId="{9798B751-F908-42D6-8384-29D19E0BF8F4}" destId="{30B696BC-FEC8-49CF-B27C-034B7BE5DB3E}" srcOrd="6" destOrd="0" presId="urn:microsoft.com/office/officeart/2005/8/layout/orgChart1#1"/>
    <dgm:cxn modelId="{C670F053-D857-4F25-9CF0-3DA8AB8BA382}" type="presParOf" srcId="{9798B751-F908-42D6-8384-29D19E0BF8F4}" destId="{B96AD477-A280-41FC-BE92-26649032D38D}" srcOrd="7" destOrd="0" presId="urn:microsoft.com/office/officeart/2005/8/layout/orgChart1#1"/>
    <dgm:cxn modelId="{AEA0E023-2F90-4428-AC6D-457FA84FB946}" type="presParOf" srcId="{B96AD477-A280-41FC-BE92-26649032D38D}" destId="{9ED34F27-4389-4A84-85A8-E23730D57898}" srcOrd="0" destOrd="0" presId="urn:microsoft.com/office/officeart/2005/8/layout/orgChart1#1"/>
    <dgm:cxn modelId="{E0388FB9-4201-461E-B53D-47102459F3D1}" type="presParOf" srcId="{9ED34F27-4389-4A84-85A8-E23730D57898}" destId="{7A441A33-DE78-432A-903D-2C2077868252}" srcOrd="0" destOrd="0" presId="urn:microsoft.com/office/officeart/2005/8/layout/orgChart1#1"/>
    <dgm:cxn modelId="{9A43FBCB-4F32-4B8A-B8CD-88002C468277}" type="presParOf" srcId="{9ED34F27-4389-4A84-85A8-E23730D57898}" destId="{FBD61323-BDAC-448A-AF1D-AFB895C8A5B2}" srcOrd="1" destOrd="0" presId="urn:microsoft.com/office/officeart/2005/8/layout/orgChart1#1"/>
    <dgm:cxn modelId="{867D5378-B9AC-4B81-A3F7-260752BB7DDD}" type="presParOf" srcId="{B96AD477-A280-41FC-BE92-26649032D38D}" destId="{4A17C4D4-783B-425E-938F-861CE9B03A24}" srcOrd="1" destOrd="0" presId="urn:microsoft.com/office/officeart/2005/8/layout/orgChart1#1"/>
    <dgm:cxn modelId="{CBAE8934-D837-42B6-9878-D2372C56894D}" type="presParOf" srcId="{B96AD477-A280-41FC-BE92-26649032D38D}" destId="{CCC6067A-BCC9-4040-AC3E-F83E7B632646}" srcOrd="2" destOrd="0" presId="urn:microsoft.com/office/officeart/2005/8/layout/orgChart1#1"/>
    <dgm:cxn modelId="{0915228C-2B5F-4A7B-AC53-73D89DC65EF9}" type="presParOf" srcId="{9798B751-F908-42D6-8384-29D19E0BF8F4}" destId="{276C1CC1-7F0C-4CC3-AEC3-CBD756171566}" srcOrd="8" destOrd="0" presId="urn:microsoft.com/office/officeart/2005/8/layout/orgChart1#1"/>
    <dgm:cxn modelId="{8AC583A4-4A81-45F9-9B21-C4E33DC47480}" type="presParOf" srcId="{9798B751-F908-42D6-8384-29D19E0BF8F4}" destId="{7A4FEDC0-C3C4-4E79-A84D-039DFB19DA4C}" srcOrd="9" destOrd="0" presId="urn:microsoft.com/office/officeart/2005/8/layout/orgChart1#1"/>
    <dgm:cxn modelId="{42076493-FFAE-48B0-9FDD-3274B96F6F80}" type="presParOf" srcId="{7A4FEDC0-C3C4-4E79-A84D-039DFB19DA4C}" destId="{A845A6A5-9344-427F-A20E-713848DE34B1}" srcOrd="0" destOrd="0" presId="urn:microsoft.com/office/officeart/2005/8/layout/orgChart1#1"/>
    <dgm:cxn modelId="{54BA525D-92F9-4EB0-8E1E-2CA1C81BE304}" type="presParOf" srcId="{A845A6A5-9344-427F-A20E-713848DE34B1}" destId="{6FD9B61C-B635-425D-9800-4D5CED31EA50}" srcOrd="0" destOrd="0" presId="urn:microsoft.com/office/officeart/2005/8/layout/orgChart1#1"/>
    <dgm:cxn modelId="{C7B5107E-2901-4228-9B1E-F37829F14D02}" type="presParOf" srcId="{A845A6A5-9344-427F-A20E-713848DE34B1}" destId="{94CCB4B5-8006-47AD-86A4-1FFF62400314}" srcOrd="1" destOrd="0" presId="urn:microsoft.com/office/officeart/2005/8/layout/orgChart1#1"/>
    <dgm:cxn modelId="{65F6962A-F75C-40CC-B1D1-A0EDED088232}" type="presParOf" srcId="{7A4FEDC0-C3C4-4E79-A84D-039DFB19DA4C}" destId="{4BF4EC14-7A44-4C08-B44A-988DE4069E89}" srcOrd="1" destOrd="0" presId="urn:microsoft.com/office/officeart/2005/8/layout/orgChart1#1"/>
    <dgm:cxn modelId="{D9B56E9D-982F-4925-8D5C-55D5A5CFA45D}" type="presParOf" srcId="{7A4FEDC0-C3C4-4E79-A84D-039DFB19DA4C}" destId="{B7F1ABE5-1A93-4B65-A16D-B69A3C91C3DE}" srcOrd="2" destOrd="0" presId="urn:microsoft.com/office/officeart/2005/8/layout/orgChart1#1"/>
    <dgm:cxn modelId="{1A494409-54AE-4780-B2CB-C0EAC7B0B221}" type="presParOf" srcId="{BB4EB009-2A13-4E8E-BE7C-B21FF891D486}" destId="{AC1C978B-145E-431C-9BDE-A4BFDF285CE2}" srcOrd="2" destOrd="0" presId="urn:microsoft.com/office/officeart/2005/8/layout/orgChart1#1"/>
    <dgm:cxn modelId="{58CF8339-47FF-474E-8402-6FC44A7C45BA}" type="presParOf" srcId="{5CA9529B-DBDD-4C9A-B812-8D336E0CCC52}" destId="{C1E43B74-F442-490E-9D1B-0ECC1FF6EFED}" srcOrd="8" destOrd="0" presId="urn:microsoft.com/office/officeart/2005/8/layout/orgChart1#1"/>
    <dgm:cxn modelId="{ED3A74F8-367E-435D-8109-2CF51729D438}" type="presParOf" srcId="{5CA9529B-DBDD-4C9A-B812-8D336E0CCC52}" destId="{5D219536-4997-4136-AA6E-760B846A68BF}" srcOrd="9" destOrd="0" presId="urn:microsoft.com/office/officeart/2005/8/layout/orgChart1#1"/>
    <dgm:cxn modelId="{A0F50536-12E9-4443-811D-EE27B3DC8B39}" type="presParOf" srcId="{5D219536-4997-4136-AA6E-760B846A68BF}" destId="{EB2359A0-A2B7-440F-B07B-C351C0236DBD}" srcOrd="0" destOrd="0" presId="urn:microsoft.com/office/officeart/2005/8/layout/orgChart1#1"/>
    <dgm:cxn modelId="{918B282A-0303-4FE3-849C-8D30706112F9}" type="presParOf" srcId="{EB2359A0-A2B7-440F-B07B-C351C0236DBD}" destId="{9247ABA2-F318-42DB-AEF4-5AF81BE38FAA}" srcOrd="0" destOrd="0" presId="urn:microsoft.com/office/officeart/2005/8/layout/orgChart1#1"/>
    <dgm:cxn modelId="{A44A7630-6400-4B76-BB75-2D536E9A94F9}" type="presParOf" srcId="{EB2359A0-A2B7-440F-B07B-C351C0236DBD}" destId="{A6541F32-0476-4029-A43D-07F7F542BBEA}" srcOrd="1" destOrd="0" presId="urn:microsoft.com/office/officeart/2005/8/layout/orgChart1#1"/>
    <dgm:cxn modelId="{7541C173-6897-480A-AC2E-7FB591140C72}" type="presParOf" srcId="{5D219536-4997-4136-AA6E-760B846A68BF}" destId="{07A1D22C-5A1E-4053-8708-557170262F45}" srcOrd="1" destOrd="0" presId="urn:microsoft.com/office/officeart/2005/8/layout/orgChart1#1"/>
    <dgm:cxn modelId="{B6117F8C-212A-4034-A740-E03C823281E1}" type="presParOf" srcId="{07A1D22C-5A1E-4053-8708-557170262F45}" destId="{47B174BE-7074-43D5-8851-FC748908FB6F}" srcOrd="0" destOrd="0" presId="urn:microsoft.com/office/officeart/2005/8/layout/orgChart1#1"/>
    <dgm:cxn modelId="{6BFA954B-E56B-4CF0-B3DE-054BC671A2A3}" type="presParOf" srcId="{07A1D22C-5A1E-4053-8708-557170262F45}" destId="{623EB096-D4BA-47AC-9BE8-199AC1687157}" srcOrd="1" destOrd="0" presId="urn:microsoft.com/office/officeart/2005/8/layout/orgChart1#1"/>
    <dgm:cxn modelId="{9470C70A-2376-4591-ABE1-B527BA01963B}" type="presParOf" srcId="{623EB096-D4BA-47AC-9BE8-199AC1687157}" destId="{A0617752-5620-4C4F-985C-2B0E367AD861}" srcOrd="0" destOrd="0" presId="urn:microsoft.com/office/officeart/2005/8/layout/orgChart1#1"/>
    <dgm:cxn modelId="{C0F149F9-85C5-48F9-B606-07E33D6EFC4D}" type="presParOf" srcId="{A0617752-5620-4C4F-985C-2B0E367AD861}" destId="{D5877B22-CFE7-4DE0-BACB-E973394F64BA}" srcOrd="0" destOrd="0" presId="urn:microsoft.com/office/officeart/2005/8/layout/orgChart1#1"/>
    <dgm:cxn modelId="{2CDD56C1-A305-4E26-A160-5B8C22A82B80}" type="presParOf" srcId="{A0617752-5620-4C4F-985C-2B0E367AD861}" destId="{9592D1A4-7148-4913-94FE-AD0BB65FA239}" srcOrd="1" destOrd="0" presId="urn:microsoft.com/office/officeart/2005/8/layout/orgChart1#1"/>
    <dgm:cxn modelId="{70AC8AC4-BBA8-4999-A4B9-9C708776DA91}" type="presParOf" srcId="{623EB096-D4BA-47AC-9BE8-199AC1687157}" destId="{335AF90F-9814-4A78-9932-FF6BD886ADCC}" srcOrd="1" destOrd="0" presId="urn:microsoft.com/office/officeart/2005/8/layout/orgChart1#1"/>
    <dgm:cxn modelId="{F4D94BEE-7209-46B6-8A3A-A887FDBF26EC}" type="presParOf" srcId="{623EB096-D4BA-47AC-9BE8-199AC1687157}" destId="{7B741908-2F0A-4D15-88CF-8AC918141CE1}" srcOrd="2" destOrd="0" presId="urn:microsoft.com/office/officeart/2005/8/layout/orgChart1#1"/>
    <dgm:cxn modelId="{118C2C71-02CA-41BB-80B1-DF7EF114FC1B}" type="presParOf" srcId="{07A1D22C-5A1E-4053-8708-557170262F45}" destId="{CC347B82-48A6-4EC6-A0D3-821F6BE5985F}" srcOrd="2" destOrd="0" presId="urn:microsoft.com/office/officeart/2005/8/layout/orgChart1#1"/>
    <dgm:cxn modelId="{3152C9B3-C09A-449F-9C3E-8F600054DF3C}" type="presParOf" srcId="{07A1D22C-5A1E-4053-8708-557170262F45}" destId="{74A535E9-BDD6-460A-8E47-0340F1F3ECAA}" srcOrd="3" destOrd="0" presId="urn:microsoft.com/office/officeart/2005/8/layout/orgChart1#1"/>
    <dgm:cxn modelId="{1C25D960-3D1B-40EC-AFA8-07678E441240}" type="presParOf" srcId="{74A535E9-BDD6-460A-8E47-0340F1F3ECAA}" destId="{30890E9D-33C5-4AD7-A7D6-671DF1F455A7}" srcOrd="0" destOrd="0" presId="urn:microsoft.com/office/officeart/2005/8/layout/orgChart1#1"/>
    <dgm:cxn modelId="{E822EAE6-20AA-4BD2-8FCB-154AFFD4BC43}" type="presParOf" srcId="{30890E9D-33C5-4AD7-A7D6-671DF1F455A7}" destId="{1793880F-F3C9-422E-81B0-7A1A7D51FA33}" srcOrd="0" destOrd="0" presId="urn:microsoft.com/office/officeart/2005/8/layout/orgChart1#1"/>
    <dgm:cxn modelId="{227D412E-8499-4840-9BB2-C237E3705435}" type="presParOf" srcId="{30890E9D-33C5-4AD7-A7D6-671DF1F455A7}" destId="{41812A26-035B-4167-AE36-81AA0CF9FB98}" srcOrd="1" destOrd="0" presId="urn:microsoft.com/office/officeart/2005/8/layout/orgChart1#1"/>
    <dgm:cxn modelId="{3F4ED135-7B38-41C6-9651-31646F6A0216}" type="presParOf" srcId="{74A535E9-BDD6-460A-8E47-0340F1F3ECAA}" destId="{B745DB96-D764-41A7-80CE-AA248FB40CB1}" srcOrd="1" destOrd="0" presId="urn:microsoft.com/office/officeart/2005/8/layout/orgChart1#1"/>
    <dgm:cxn modelId="{914C39C3-E959-40C4-A8E7-8E51A888CBCB}" type="presParOf" srcId="{74A535E9-BDD6-460A-8E47-0340F1F3ECAA}" destId="{D7F292DF-EF06-4A63-A437-70ECFE851E7A}" srcOrd="2" destOrd="0" presId="urn:microsoft.com/office/officeart/2005/8/layout/orgChart1#1"/>
    <dgm:cxn modelId="{CF5D962E-1B71-4B24-AD64-9380B5A225AF}" type="presParOf" srcId="{07A1D22C-5A1E-4053-8708-557170262F45}" destId="{A3589812-09FB-47D7-8AF5-5B8B8B249DB2}" srcOrd="4" destOrd="0" presId="urn:microsoft.com/office/officeart/2005/8/layout/orgChart1#1"/>
    <dgm:cxn modelId="{7B6E0E8F-F1B1-4200-A794-386F5C73A465}" type="presParOf" srcId="{07A1D22C-5A1E-4053-8708-557170262F45}" destId="{D6584296-91D7-45DF-A908-AD1AA9E58637}" srcOrd="5" destOrd="0" presId="urn:microsoft.com/office/officeart/2005/8/layout/orgChart1#1"/>
    <dgm:cxn modelId="{03BB51C2-E02C-4D68-8F36-56D8D6A910DF}" type="presParOf" srcId="{D6584296-91D7-45DF-A908-AD1AA9E58637}" destId="{AD4F571F-8C8B-4771-873F-AE5E5E80A846}" srcOrd="0" destOrd="0" presId="urn:microsoft.com/office/officeart/2005/8/layout/orgChart1#1"/>
    <dgm:cxn modelId="{274E2EE2-982F-4781-ABB2-6F9FD4B1B233}" type="presParOf" srcId="{AD4F571F-8C8B-4771-873F-AE5E5E80A846}" destId="{D91D2494-6542-426F-95EC-524A3E6C6E9E}" srcOrd="0" destOrd="0" presId="urn:microsoft.com/office/officeart/2005/8/layout/orgChart1#1"/>
    <dgm:cxn modelId="{1E224E7D-C9B8-4CDE-B016-A38CBF7C4585}" type="presParOf" srcId="{AD4F571F-8C8B-4771-873F-AE5E5E80A846}" destId="{D742EC39-E31B-4A31-8AE5-2854E9331CCD}" srcOrd="1" destOrd="0" presId="urn:microsoft.com/office/officeart/2005/8/layout/orgChart1#1"/>
    <dgm:cxn modelId="{6CF55A36-4DDD-418A-AB4F-10D25A9BD512}" type="presParOf" srcId="{D6584296-91D7-45DF-A908-AD1AA9E58637}" destId="{5EAB0A43-162F-4FA9-BC8E-60E8DDC61BAD}" srcOrd="1" destOrd="0" presId="urn:microsoft.com/office/officeart/2005/8/layout/orgChart1#1"/>
    <dgm:cxn modelId="{708430F4-9371-41C4-B8FC-FB6077AC92D3}" type="presParOf" srcId="{D6584296-91D7-45DF-A908-AD1AA9E58637}" destId="{32A3FF0F-8E50-4CF7-B4D9-A6E49F33C021}" srcOrd="2" destOrd="0" presId="urn:microsoft.com/office/officeart/2005/8/layout/orgChart1#1"/>
    <dgm:cxn modelId="{C2F61A75-9656-42F5-87B8-1173E4DDB13C}" type="presParOf" srcId="{07A1D22C-5A1E-4053-8708-557170262F45}" destId="{F3172634-F213-4CCD-9377-916EE95E6FEB}" srcOrd="6" destOrd="0" presId="urn:microsoft.com/office/officeart/2005/8/layout/orgChart1#1"/>
    <dgm:cxn modelId="{6D19623C-9F69-4C9B-94BD-DCB24F001532}" type="presParOf" srcId="{07A1D22C-5A1E-4053-8708-557170262F45}" destId="{381B86D6-FF32-469B-9B13-D6E2D2946701}" srcOrd="7" destOrd="0" presId="urn:microsoft.com/office/officeart/2005/8/layout/orgChart1#1"/>
    <dgm:cxn modelId="{BB1074B5-6E5E-46CC-93A3-5A898FA6BC94}" type="presParOf" srcId="{381B86D6-FF32-469B-9B13-D6E2D2946701}" destId="{372C6529-05BE-4EDF-A7A2-5548428C6D0F}" srcOrd="0" destOrd="0" presId="urn:microsoft.com/office/officeart/2005/8/layout/orgChart1#1"/>
    <dgm:cxn modelId="{F5DF8A9A-9C42-4697-B027-CA5D28BFF2C8}" type="presParOf" srcId="{372C6529-05BE-4EDF-A7A2-5548428C6D0F}" destId="{8105E564-5E33-48F7-9B57-1822F5AC710C}" srcOrd="0" destOrd="0" presId="urn:microsoft.com/office/officeart/2005/8/layout/orgChart1#1"/>
    <dgm:cxn modelId="{3AD9E2B8-7EA5-42A3-BBD2-126FCFB36F91}" type="presParOf" srcId="{372C6529-05BE-4EDF-A7A2-5548428C6D0F}" destId="{A031B46C-4604-4E02-9D84-E6108BF1063D}" srcOrd="1" destOrd="0" presId="urn:microsoft.com/office/officeart/2005/8/layout/orgChart1#1"/>
    <dgm:cxn modelId="{F2E9909B-725C-493E-897F-A2635C0B9906}" type="presParOf" srcId="{381B86D6-FF32-469B-9B13-D6E2D2946701}" destId="{0CE520ED-0D45-46FF-9AA0-F1D045A2CD75}" srcOrd="1" destOrd="0" presId="urn:microsoft.com/office/officeart/2005/8/layout/orgChart1#1"/>
    <dgm:cxn modelId="{F0281B24-1FD7-4233-B457-299E4EDB673B}" type="presParOf" srcId="{381B86D6-FF32-469B-9B13-D6E2D2946701}" destId="{ACC60D47-28FF-4339-9234-4254153914CC}" srcOrd="2" destOrd="0" presId="urn:microsoft.com/office/officeart/2005/8/layout/orgChart1#1"/>
    <dgm:cxn modelId="{8C5304C0-1A09-466D-99F1-FDB42390D613}" type="presParOf" srcId="{07A1D22C-5A1E-4053-8708-557170262F45}" destId="{B99F5AA7-5D83-460F-A4F4-F2DF85AD8846}" srcOrd="8" destOrd="0" presId="urn:microsoft.com/office/officeart/2005/8/layout/orgChart1#1"/>
    <dgm:cxn modelId="{FE8F01F7-F735-4B3D-AFA2-432186B0DCE2}" type="presParOf" srcId="{07A1D22C-5A1E-4053-8708-557170262F45}" destId="{2EF7942B-F4F3-4DC4-B551-7E6DDEF6416D}" srcOrd="9" destOrd="0" presId="urn:microsoft.com/office/officeart/2005/8/layout/orgChart1#1"/>
    <dgm:cxn modelId="{DC314958-E0EB-4770-A1FA-0FE164FD6E25}" type="presParOf" srcId="{2EF7942B-F4F3-4DC4-B551-7E6DDEF6416D}" destId="{F9BAB6BA-A6DF-4337-A624-92940A014FD0}" srcOrd="0" destOrd="0" presId="urn:microsoft.com/office/officeart/2005/8/layout/orgChart1#1"/>
    <dgm:cxn modelId="{99BD198A-C47A-41E9-83AA-B8611D27C0AC}" type="presParOf" srcId="{F9BAB6BA-A6DF-4337-A624-92940A014FD0}" destId="{C68B121C-E998-437C-9453-551C74411EA1}" srcOrd="0" destOrd="0" presId="urn:microsoft.com/office/officeart/2005/8/layout/orgChart1#1"/>
    <dgm:cxn modelId="{4EF4E0FE-D04B-471A-A4FF-BCC6EA42456E}" type="presParOf" srcId="{F9BAB6BA-A6DF-4337-A624-92940A014FD0}" destId="{A96A36A3-97C9-466D-9ABD-8184219F276F}" srcOrd="1" destOrd="0" presId="urn:microsoft.com/office/officeart/2005/8/layout/orgChart1#1"/>
    <dgm:cxn modelId="{10BCFF7A-77DA-47FA-8BE4-F4D740C22BDD}" type="presParOf" srcId="{2EF7942B-F4F3-4DC4-B551-7E6DDEF6416D}" destId="{20A82BB8-FCBD-4842-8729-7E03FD89D838}" srcOrd="1" destOrd="0" presId="urn:microsoft.com/office/officeart/2005/8/layout/orgChart1#1"/>
    <dgm:cxn modelId="{82C509C2-D97E-4DB2-B277-F88379C413B8}" type="presParOf" srcId="{2EF7942B-F4F3-4DC4-B551-7E6DDEF6416D}" destId="{F0850552-C18D-4710-AAFD-6B6AEA88F67D}" srcOrd="2" destOrd="0" presId="urn:microsoft.com/office/officeart/2005/8/layout/orgChart1#1"/>
    <dgm:cxn modelId="{7C5E0BF6-4375-4779-AEFD-4B95E53FFA85}" type="presParOf" srcId="{07A1D22C-5A1E-4053-8708-557170262F45}" destId="{D52DC5B6-8E30-4F09-A453-3053DAA342B7}" srcOrd="10" destOrd="0" presId="urn:microsoft.com/office/officeart/2005/8/layout/orgChart1#1"/>
    <dgm:cxn modelId="{5BAAC4D6-8867-468E-887F-1BEB3F657F9F}" type="presParOf" srcId="{07A1D22C-5A1E-4053-8708-557170262F45}" destId="{38F3D756-2974-40BF-A4F3-D2C5C4FB170C}" srcOrd="11" destOrd="0" presId="urn:microsoft.com/office/officeart/2005/8/layout/orgChart1#1"/>
    <dgm:cxn modelId="{BACABAF0-BE3A-45A5-AAAD-50D9C1534A97}" type="presParOf" srcId="{38F3D756-2974-40BF-A4F3-D2C5C4FB170C}" destId="{B9AF9E0B-3FB4-4AA3-AFC5-2A0A0BCC08A8}" srcOrd="0" destOrd="0" presId="urn:microsoft.com/office/officeart/2005/8/layout/orgChart1#1"/>
    <dgm:cxn modelId="{DAF16467-010D-4A20-BA1E-A1185B5936EB}" type="presParOf" srcId="{B9AF9E0B-3FB4-4AA3-AFC5-2A0A0BCC08A8}" destId="{BE5E8A09-965D-46FD-BE43-25D0FC68057C}" srcOrd="0" destOrd="0" presId="urn:microsoft.com/office/officeart/2005/8/layout/orgChart1#1"/>
    <dgm:cxn modelId="{6074482A-D77B-432C-8621-221B778BB5A0}" type="presParOf" srcId="{B9AF9E0B-3FB4-4AA3-AFC5-2A0A0BCC08A8}" destId="{92D4328A-8CA5-4B0D-A347-0DEE6DE640D9}" srcOrd="1" destOrd="0" presId="urn:microsoft.com/office/officeart/2005/8/layout/orgChart1#1"/>
    <dgm:cxn modelId="{E780AF5A-7295-4190-B3FE-F00FE9197128}" type="presParOf" srcId="{38F3D756-2974-40BF-A4F3-D2C5C4FB170C}" destId="{B21B1929-631B-4753-AA96-D8185EC760ED}" srcOrd="1" destOrd="0" presId="urn:microsoft.com/office/officeart/2005/8/layout/orgChart1#1"/>
    <dgm:cxn modelId="{6CB37DF9-191F-4AAA-B93F-6C967E2045BE}" type="presParOf" srcId="{38F3D756-2974-40BF-A4F3-D2C5C4FB170C}" destId="{E768E668-AB51-477F-9019-9953B7100B66}" srcOrd="2" destOrd="0" presId="urn:microsoft.com/office/officeart/2005/8/layout/orgChart1#1"/>
    <dgm:cxn modelId="{59114055-C06A-4CE2-9A20-CFF019AB2E9E}" type="presParOf" srcId="{07A1D22C-5A1E-4053-8708-557170262F45}" destId="{89183F5B-3F62-42CB-9D08-675320EEAF4E}" srcOrd="12" destOrd="0" presId="urn:microsoft.com/office/officeart/2005/8/layout/orgChart1#1"/>
    <dgm:cxn modelId="{61361A9B-7869-47FD-B20B-B7C8D333C4FF}" type="presParOf" srcId="{07A1D22C-5A1E-4053-8708-557170262F45}" destId="{75E284A8-5DDB-4FA5-A023-EB9378C186E2}" srcOrd="13" destOrd="0" presId="urn:microsoft.com/office/officeart/2005/8/layout/orgChart1#1"/>
    <dgm:cxn modelId="{7DB19D39-B797-4B41-BC0E-F0E69D139F97}" type="presParOf" srcId="{75E284A8-5DDB-4FA5-A023-EB9378C186E2}" destId="{31D7E35C-7AE0-4C86-862E-62DDE36EECE9}" srcOrd="0" destOrd="0" presId="urn:microsoft.com/office/officeart/2005/8/layout/orgChart1#1"/>
    <dgm:cxn modelId="{8E4301C5-F9E4-4386-AF3F-FD98E3DC36CB}" type="presParOf" srcId="{31D7E35C-7AE0-4C86-862E-62DDE36EECE9}" destId="{46B393A1-5ED9-4A47-A1C5-FF1683AD125D}" srcOrd="0" destOrd="0" presId="urn:microsoft.com/office/officeart/2005/8/layout/orgChart1#1"/>
    <dgm:cxn modelId="{E7AA59B9-DB11-4D47-832A-6D517A7B2146}" type="presParOf" srcId="{31D7E35C-7AE0-4C86-862E-62DDE36EECE9}" destId="{E271E75B-F0FF-4600-BD4B-F2A0DE1810E9}" srcOrd="1" destOrd="0" presId="urn:microsoft.com/office/officeart/2005/8/layout/orgChart1#1"/>
    <dgm:cxn modelId="{D63B2A0C-2D81-49F4-B4AF-5549BB2BAC63}" type="presParOf" srcId="{75E284A8-5DDB-4FA5-A023-EB9378C186E2}" destId="{9ACE3ABE-F6C8-4619-8D23-F3CF083668CF}" srcOrd="1" destOrd="0" presId="urn:microsoft.com/office/officeart/2005/8/layout/orgChart1#1"/>
    <dgm:cxn modelId="{FDD55543-4911-42B0-8D0B-AE0437B5C0BB}" type="presParOf" srcId="{75E284A8-5DDB-4FA5-A023-EB9378C186E2}" destId="{1A967D25-6303-4E6F-ADE6-6850280126F1}" srcOrd="2" destOrd="0" presId="urn:microsoft.com/office/officeart/2005/8/layout/orgChart1#1"/>
    <dgm:cxn modelId="{62ABA4BA-7729-42DE-B18D-32E38D9F6929}" type="presParOf" srcId="{5D219536-4997-4136-AA6E-760B846A68BF}" destId="{B60C4C47-903E-455B-94D1-DD1EAD095504}" srcOrd="2" destOrd="0" presId="urn:microsoft.com/office/officeart/2005/8/layout/orgChart1#1"/>
    <dgm:cxn modelId="{DAB3FB2A-F40B-43EC-88F9-55B5C4060AEB}" type="presParOf" srcId="{2ED470C0-9B04-4B58-A984-FF7B871EC381}" destId="{802FEDE1-4129-431B-8DE6-DE98F49306F5}" srcOrd="2" destOrd="0" presId="urn:microsoft.com/office/officeart/2005/8/layout/orgChart1#1"/>
  </dgm:cxnLst>
  <dgm:bg/>
  <dgm:whole/>
  <dgm:extLst>
    <a:ext uri="http://schemas.microsoft.com/office/drawing/2008/diagram">
      <dsp:dataModelExt xmlns:dsp="http://schemas.microsoft.com/office/drawing/2008/diagram" relId="rId3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xmlns:r="http://schemas.openxmlformats.org/officeDocument/2006/relationships">
  <dsp:spTree>
    <dsp:nvGrpSpPr>
      <dsp:cNvPr id="2" name="组合 1"/>
      <dsp:cNvGrpSpPr/>
    </dsp:nvGrpSpPr>
    <dsp:grpSpPr>
      <a:xfrm>
        <a:off x="0" y="0"/>
        <a:ext cx="5274310" cy="3588385"/>
        <a:chOff x="0" y="0"/>
        <a:chExt cx="5274310" cy="3588385"/>
      </a:xfrm>
    </dsp:grpSpPr>
    <dsp:sp modelId="{5B35775E-DAAE-415B-84FF-54EF53E2191F}">
      <dsp:nvSpPr>
        <dsp:cNvPr id="5" name="任意多边形 4"/>
        <dsp:cNvSpPr/>
      </dsp:nvSpPr>
      <dsp:spPr bwMode="white">
        <a:xfrm>
          <a:off x="419910" y="321985"/>
          <a:ext cx="2103067" cy="115504"/>
        </a:xfrm>
        <a:custGeom>
          <a:avLst/>
          <a:gdLst/>
          <a:ahLst/>
          <a:cxnLst/>
          <a:pathLst>
            <a:path w="3312" h="182">
              <a:moveTo>
                <a:pt x="3312" y="0"/>
              </a:moveTo>
              <a:lnTo>
                <a:pt x="3312" y="91"/>
              </a:lnTo>
              <a:lnTo>
                <a:pt x="0" y="91"/>
              </a:lnTo>
              <a:lnTo>
                <a:pt x="0" y="182"/>
              </a:lnTo>
            </a:path>
          </a:pathLst>
        </a:custGeom>
      </dsp:spPr>
      <dsp:style>
        <a:lnRef idx="2">
          <a:schemeClr val="accent1">
            <a:shade val="60000"/>
          </a:schemeClr>
        </a:lnRef>
        <a:fillRef idx="0">
          <a:schemeClr val="accent1"/>
        </a:fillRef>
        <a:effectRef idx="0">
          <a:scrgbClr r="0" g="0" b="0"/>
        </a:effectRef>
        <a:fontRef idx="minor"/>
      </dsp:style>
      <dsp:txXfrm>
        <a:off x="419910" y="321985"/>
        <a:ext cx="2103067" cy="115504"/>
      </dsp:txXfrm>
    </dsp:sp>
    <dsp:sp modelId="{F62A1C71-F3DB-48DF-AFCF-7727F2074097}">
      <dsp:nvSpPr>
        <dsp:cNvPr id="8" name="任意多边形 7"/>
        <dsp:cNvSpPr/>
      </dsp:nvSpPr>
      <dsp:spPr bwMode="white">
        <a:xfrm>
          <a:off x="1332681" y="321985"/>
          <a:ext cx="1190297" cy="115504"/>
        </a:xfrm>
        <a:custGeom>
          <a:avLst/>
          <a:gdLst/>
          <a:ahLst/>
          <a:cxnLst/>
          <a:pathLst>
            <a:path w="1874" h="182">
              <a:moveTo>
                <a:pt x="1874" y="0"/>
              </a:moveTo>
              <a:lnTo>
                <a:pt x="1874" y="91"/>
              </a:lnTo>
              <a:lnTo>
                <a:pt x="0" y="91"/>
              </a:lnTo>
              <a:lnTo>
                <a:pt x="0" y="182"/>
              </a:lnTo>
            </a:path>
          </a:pathLst>
        </a:custGeom>
      </dsp:spPr>
      <dsp:style>
        <a:lnRef idx="2">
          <a:schemeClr val="accent1">
            <a:shade val="60000"/>
          </a:schemeClr>
        </a:lnRef>
        <a:fillRef idx="0">
          <a:schemeClr val="accent1"/>
        </a:fillRef>
        <a:effectRef idx="0">
          <a:scrgbClr r="0" g="0" b="0"/>
        </a:effectRef>
        <a:fontRef idx="minor"/>
      </dsp:style>
      <dsp:txXfrm>
        <a:off x="1332681" y="321985"/>
        <a:ext cx="1190297" cy="115504"/>
      </dsp:txXfrm>
    </dsp:sp>
    <dsp:sp modelId="{CA563783-94E8-471C-BA0C-BB452DC9C262}">
      <dsp:nvSpPr>
        <dsp:cNvPr id="11" name="任意多边形 10"/>
        <dsp:cNvSpPr/>
      </dsp:nvSpPr>
      <dsp:spPr bwMode="white">
        <a:xfrm>
          <a:off x="1030796" y="712500"/>
          <a:ext cx="113207" cy="271013"/>
        </a:xfrm>
        <a:custGeom>
          <a:avLst/>
          <a:gdLst/>
          <a:ahLst/>
          <a:cxnLst/>
          <a:pathLst>
            <a:path w="178" h="427">
              <a:moveTo>
                <a:pt x="0" y="0"/>
              </a:moveTo>
              <a:lnTo>
                <a:pt x="0" y="427"/>
              </a:lnTo>
              <a:lnTo>
                <a:pt x="178" y="427"/>
              </a:lnTo>
            </a:path>
          </a:pathLst>
        </a:custGeom>
      </dsp:spPr>
      <dsp:style>
        <a:lnRef idx="2">
          <a:schemeClr val="accent1">
            <a:shade val="80000"/>
          </a:schemeClr>
        </a:lnRef>
        <a:fillRef idx="0">
          <a:schemeClr val="accent1"/>
        </a:fillRef>
        <a:effectRef idx="0">
          <a:scrgbClr r="0" g="0" b="0"/>
        </a:effectRef>
        <a:fontRef idx="minor"/>
      </dsp:style>
      <dsp:txXfrm>
        <a:off x="1030796" y="712500"/>
        <a:ext cx="113207" cy="271013"/>
      </dsp:txXfrm>
    </dsp:sp>
    <dsp:sp modelId="{C4F37858-3F2E-4257-8C4B-029745AEC4D1}">
      <dsp:nvSpPr>
        <dsp:cNvPr id="14" name="任意多边形 13"/>
        <dsp:cNvSpPr/>
      </dsp:nvSpPr>
      <dsp:spPr bwMode="white">
        <a:xfrm>
          <a:off x="2339625" y="321985"/>
          <a:ext cx="183352" cy="115504"/>
        </a:xfrm>
        <a:custGeom>
          <a:avLst/>
          <a:gdLst/>
          <a:ahLst/>
          <a:cxnLst/>
          <a:pathLst>
            <a:path w="289" h="182">
              <a:moveTo>
                <a:pt x="289" y="0"/>
              </a:moveTo>
              <a:lnTo>
                <a:pt x="289" y="91"/>
              </a:lnTo>
              <a:lnTo>
                <a:pt x="0" y="91"/>
              </a:lnTo>
              <a:lnTo>
                <a:pt x="0" y="182"/>
              </a:lnTo>
            </a:path>
          </a:pathLst>
        </a:custGeom>
      </dsp:spPr>
      <dsp:style>
        <a:lnRef idx="2">
          <a:schemeClr val="accent1">
            <a:shade val="60000"/>
          </a:schemeClr>
        </a:lnRef>
        <a:fillRef idx="0">
          <a:schemeClr val="accent1"/>
        </a:fillRef>
        <a:effectRef idx="0">
          <a:scrgbClr r="0" g="0" b="0"/>
        </a:effectRef>
        <a:fontRef idx="minor"/>
      </dsp:style>
      <dsp:txXfrm>
        <a:off x="2339625" y="321985"/>
        <a:ext cx="183352" cy="115504"/>
      </dsp:txXfrm>
    </dsp:sp>
    <dsp:sp modelId="{EC10F496-1CBC-4773-A817-DDDE8531B86E}">
      <dsp:nvSpPr>
        <dsp:cNvPr id="17" name="任意多边形 16"/>
        <dsp:cNvSpPr/>
      </dsp:nvSpPr>
      <dsp:spPr bwMode="white">
        <a:xfrm>
          <a:off x="1928357" y="712500"/>
          <a:ext cx="154226" cy="306363"/>
        </a:xfrm>
        <a:custGeom>
          <a:avLst/>
          <a:gdLst/>
          <a:ahLst/>
          <a:cxnLst/>
          <a:pathLst>
            <a:path w="243" h="482">
              <a:moveTo>
                <a:pt x="0" y="0"/>
              </a:moveTo>
              <a:lnTo>
                <a:pt x="0" y="482"/>
              </a:lnTo>
              <a:lnTo>
                <a:pt x="243" y="482"/>
              </a:lnTo>
            </a:path>
          </a:pathLst>
        </a:custGeom>
      </dsp:spPr>
      <dsp:style>
        <a:lnRef idx="2">
          <a:schemeClr val="accent1">
            <a:shade val="80000"/>
          </a:schemeClr>
        </a:lnRef>
        <a:fillRef idx="0">
          <a:schemeClr val="accent1"/>
        </a:fillRef>
        <a:effectRef idx="0">
          <a:scrgbClr r="0" g="0" b="0"/>
        </a:effectRef>
        <a:fontRef idx="minor"/>
      </dsp:style>
      <dsp:txXfrm>
        <a:off x="1928357" y="712500"/>
        <a:ext cx="154226" cy="306363"/>
      </dsp:txXfrm>
    </dsp:sp>
    <dsp:sp modelId="{4B7D7BC3-86F9-4A21-AAE0-26BE3A2E39FD}">
      <dsp:nvSpPr>
        <dsp:cNvPr id="20" name="任意多边形 19"/>
        <dsp:cNvSpPr/>
      </dsp:nvSpPr>
      <dsp:spPr bwMode="white">
        <a:xfrm>
          <a:off x="1928357" y="712500"/>
          <a:ext cx="154226" cy="783243"/>
        </a:xfrm>
        <a:custGeom>
          <a:avLst/>
          <a:gdLst/>
          <a:ahLst/>
          <a:cxnLst/>
          <a:pathLst>
            <a:path w="243" h="1233">
              <a:moveTo>
                <a:pt x="0" y="0"/>
              </a:moveTo>
              <a:lnTo>
                <a:pt x="0" y="1233"/>
              </a:lnTo>
              <a:lnTo>
                <a:pt x="243" y="1233"/>
              </a:lnTo>
            </a:path>
          </a:pathLst>
        </a:custGeom>
      </dsp:spPr>
      <dsp:style>
        <a:lnRef idx="2">
          <a:schemeClr val="accent1">
            <a:shade val="80000"/>
          </a:schemeClr>
        </a:lnRef>
        <a:fillRef idx="0">
          <a:schemeClr val="accent1"/>
        </a:fillRef>
        <a:effectRef idx="0">
          <a:scrgbClr r="0" g="0" b="0"/>
        </a:effectRef>
        <a:fontRef idx="minor"/>
      </dsp:style>
      <dsp:txXfrm>
        <a:off x="1928357" y="712500"/>
        <a:ext cx="154226" cy="783243"/>
      </dsp:txXfrm>
    </dsp:sp>
    <dsp:sp modelId="{DF3C2526-65A4-4E0E-B15E-50150D0378DC}">
      <dsp:nvSpPr>
        <dsp:cNvPr id="23" name="任意多边形 22"/>
        <dsp:cNvSpPr/>
      </dsp:nvSpPr>
      <dsp:spPr bwMode="white">
        <a:xfrm>
          <a:off x="1928357" y="712500"/>
          <a:ext cx="154226" cy="1264585"/>
        </a:xfrm>
        <a:custGeom>
          <a:avLst/>
          <a:gdLst/>
          <a:ahLst/>
          <a:cxnLst/>
          <a:pathLst>
            <a:path w="243" h="1991">
              <a:moveTo>
                <a:pt x="0" y="0"/>
              </a:moveTo>
              <a:lnTo>
                <a:pt x="0" y="1991"/>
              </a:lnTo>
              <a:lnTo>
                <a:pt x="243" y="1991"/>
              </a:lnTo>
            </a:path>
          </a:pathLst>
        </a:custGeom>
      </dsp:spPr>
      <dsp:style>
        <a:lnRef idx="2">
          <a:schemeClr val="accent1">
            <a:shade val="80000"/>
          </a:schemeClr>
        </a:lnRef>
        <a:fillRef idx="0">
          <a:schemeClr val="accent1"/>
        </a:fillRef>
        <a:effectRef idx="0">
          <a:scrgbClr r="0" g="0" b="0"/>
        </a:effectRef>
        <a:fontRef idx="minor"/>
      </dsp:style>
      <dsp:txXfrm>
        <a:off x="1928357" y="712500"/>
        <a:ext cx="154226" cy="1264585"/>
      </dsp:txXfrm>
    </dsp:sp>
    <dsp:sp modelId="{EF75A677-BEFE-43F8-B8D3-531BE0301C38}">
      <dsp:nvSpPr>
        <dsp:cNvPr id="26" name="任意多边形 25"/>
        <dsp:cNvSpPr/>
      </dsp:nvSpPr>
      <dsp:spPr bwMode="white">
        <a:xfrm>
          <a:off x="1928357" y="712500"/>
          <a:ext cx="154226" cy="1741918"/>
        </a:xfrm>
        <a:custGeom>
          <a:avLst/>
          <a:gdLst/>
          <a:ahLst/>
          <a:cxnLst/>
          <a:pathLst>
            <a:path w="243" h="2743">
              <a:moveTo>
                <a:pt x="0" y="0"/>
              </a:moveTo>
              <a:lnTo>
                <a:pt x="0" y="2743"/>
              </a:lnTo>
              <a:lnTo>
                <a:pt x="243" y="2743"/>
              </a:lnTo>
            </a:path>
          </a:pathLst>
        </a:custGeom>
      </dsp:spPr>
      <dsp:style>
        <a:lnRef idx="2">
          <a:schemeClr val="accent1">
            <a:shade val="80000"/>
          </a:schemeClr>
        </a:lnRef>
        <a:fillRef idx="0">
          <a:schemeClr val="accent1"/>
        </a:fillRef>
        <a:effectRef idx="0">
          <a:scrgbClr r="0" g="0" b="0"/>
        </a:effectRef>
        <a:fontRef idx="minor"/>
      </dsp:style>
      <dsp:txXfrm>
        <a:off x="1928357" y="712500"/>
        <a:ext cx="154226" cy="1741918"/>
      </dsp:txXfrm>
    </dsp:sp>
    <dsp:sp modelId="{46785927-9F93-4267-81E0-D8D2A2E69A5A}">
      <dsp:nvSpPr>
        <dsp:cNvPr id="29" name="任意多边形 28"/>
        <dsp:cNvSpPr/>
      </dsp:nvSpPr>
      <dsp:spPr bwMode="white">
        <a:xfrm>
          <a:off x="1928357" y="712500"/>
          <a:ext cx="154226" cy="2161435"/>
        </a:xfrm>
        <a:custGeom>
          <a:avLst/>
          <a:gdLst/>
          <a:ahLst/>
          <a:cxnLst/>
          <a:pathLst>
            <a:path w="243" h="3404">
              <a:moveTo>
                <a:pt x="0" y="0"/>
              </a:moveTo>
              <a:lnTo>
                <a:pt x="0" y="3404"/>
              </a:lnTo>
              <a:lnTo>
                <a:pt x="243" y="3404"/>
              </a:lnTo>
            </a:path>
          </a:pathLst>
        </a:custGeom>
      </dsp:spPr>
      <dsp:style>
        <a:lnRef idx="2">
          <a:schemeClr val="accent1">
            <a:shade val="80000"/>
          </a:schemeClr>
        </a:lnRef>
        <a:fillRef idx="0">
          <a:schemeClr val="accent1"/>
        </a:fillRef>
        <a:effectRef idx="0">
          <a:scrgbClr r="0" g="0" b="0"/>
        </a:effectRef>
        <a:fontRef idx="minor"/>
      </dsp:style>
      <dsp:txXfrm>
        <a:off x="1928357" y="712500"/>
        <a:ext cx="154226" cy="2161435"/>
      </dsp:txXfrm>
    </dsp:sp>
    <dsp:sp modelId="{39EBA711-0857-4E98-B0EB-049C94ED6786}">
      <dsp:nvSpPr>
        <dsp:cNvPr id="32" name="任意多边形 31"/>
        <dsp:cNvSpPr/>
      </dsp:nvSpPr>
      <dsp:spPr bwMode="white">
        <a:xfrm>
          <a:off x="1928357" y="712500"/>
          <a:ext cx="154226" cy="2605604"/>
        </a:xfrm>
        <a:custGeom>
          <a:avLst/>
          <a:gdLst/>
          <a:ahLst/>
          <a:cxnLst/>
          <a:pathLst>
            <a:path w="243" h="4103">
              <a:moveTo>
                <a:pt x="0" y="0"/>
              </a:moveTo>
              <a:lnTo>
                <a:pt x="0" y="4103"/>
              </a:lnTo>
              <a:lnTo>
                <a:pt x="243" y="4103"/>
              </a:lnTo>
            </a:path>
          </a:pathLst>
        </a:custGeom>
      </dsp:spPr>
      <dsp:style>
        <a:lnRef idx="2">
          <a:schemeClr val="accent1">
            <a:shade val="80000"/>
          </a:schemeClr>
        </a:lnRef>
        <a:fillRef idx="0">
          <a:schemeClr val="accent1"/>
        </a:fillRef>
        <a:effectRef idx="0">
          <a:scrgbClr r="0" g="0" b="0"/>
        </a:effectRef>
        <a:fontRef idx="minor"/>
      </dsp:style>
      <dsp:txXfrm>
        <a:off x="1928357" y="712500"/>
        <a:ext cx="154226" cy="2605604"/>
      </dsp:txXfrm>
    </dsp:sp>
    <dsp:sp modelId="{54A120E2-85BE-45D1-88D1-8DBDDB17D71A}">
      <dsp:nvSpPr>
        <dsp:cNvPr id="35" name="任意多边形 34"/>
        <dsp:cNvSpPr/>
      </dsp:nvSpPr>
      <dsp:spPr bwMode="white">
        <a:xfrm>
          <a:off x="2522978" y="321985"/>
          <a:ext cx="972951" cy="115504"/>
        </a:xfrm>
        <a:custGeom>
          <a:avLst/>
          <a:gdLst/>
          <a:ahLst/>
          <a:cxnLst/>
          <a:pathLst>
            <a:path w="1532" h="182">
              <a:moveTo>
                <a:pt x="0" y="0"/>
              </a:moveTo>
              <a:lnTo>
                <a:pt x="0" y="91"/>
              </a:lnTo>
              <a:lnTo>
                <a:pt x="1532" y="91"/>
              </a:lnTo>
              <a:lnTo>
                <a:pt x="1532" y="182"/>
              </a:lnTo>
            </a:path>
          </a:pathLst>
        </a:custGeom>
      </dsp:spPr>
      <dsp:style>
        <a:lnRef idx="2">
          <a:schemeClr val="accent1">
            <a:shade val="60000"/>
          </a:schemeClr>
        </a:lnRef>
        <a:fillRef idx="0">
          <a:schemeClr val="accent1"/>
        </a:fillRef>
        <a:effectRef idx="0">
          <a:scrgbClr r="0" g="0" b="0"/>
        </a:effectRef>
        <a:fontRef idx="minor"/>
      </dsp:style>
      <dsp:txXfrm>
        <a:off x="2522978" y="321985"/>
        <a:ext cx="972951" cy="115504"/>
      </dsp:txXfrm>
    </dsp:sp>
    <dsp:sp modelId="{4EA13DF4-D5D8-4E3E-A641-06C600C22FA8}">
      <dsp:nvSpPr>
        <dsp:cNvPr id="38" name="任意多边形 37"/>
        <dsp:cNvSpPr/>
      </dsp:nvSpPr>
      <dsp:spPr bwMode="white">
        <a:xfrm>
          <a:off x="3074558" y="712500"/>
          <a:ext cx="158014" cy="309483"/>
        </a:xfrm>
        <a:custGeom>
          <a:avLst/>
          <a:gdLst/>
          <a:ahLst/>
          <a:cxnLst/>
          <a:pathLst>
            <a:path w="249" h="487">
              <a:moveTo>
                <a:pt x="0" y="0"/>
              </a:moveTo>
              <a:lnTo>
                <a:pt x="0" y="487"/>
              </a:lnTo>
              <a:lnTo>
                <a:pt x="249" y="487"/>
              </a:lnTo>
            </a:path>
          </a:pathLst>
        </a:custGeom>
      </dsp:spPr>
      <dsp:style>
        <a:lnRef idx="2">
          <a:schemeClr val="accent1">
            <a:shade val="80000"/>
          </a:schemeClr>
        </a:lnRef>
        <a:fillRef idx="0">
          <a:schemeClr val="accent1"/>
        </a:fillRef>
        <a:effectRef idx="0">
          <a:scrgbClr r="0" g="0" b="0"/>
        </a:effectRef>
        <a:fontRef idx="minor"/>
      </dsp:style>
      <dsp:txXfrm>
        <a:off x="3074558" y="712500"/>
        <a:ext cx="158014" cy="309483"/>
      </dsp:txXfrm>
    </dsp:sp>
    <dsp:sp modelId="{A434E2FC-011A-488D-90DB-A67C266CB62A}">
      <dsp:nvSpPr>
        <dsp:cNvPr id="41" name="任意多边形 40"/>
        <dsp:cNvSpPr/>
      </dsp:nvSpPr>
      <dsp:spPr bwMode="white">
        <a:xfrm>
          <a:off x="3074558" y="712500"/>
          <a:ext cx="158014" cy="786484"/>
        </a:xfrm>
        <a:custGeom>
          <a:avLst/>
          <a:gdLst/>
          <a:ahLst/>
          <a:cxnLst/>
          <a:pathLst>
            <a:path w="249" h="1239">
              <a:moveTo>
                <a:pt x="0" y="0"/>
              </a:moveTo>
              <a:lnTo>
                <a:pt x="0" y="1239"/>
              </a:lnTo>
              <a:lnTo>
                <a:pt x="249" y="1239"/>
              </a:lnTo>
            </a:path>
          </a:pathLst>
        </a:custGeom>
      </dsp:spPr>
      <dsp:style>
        <a:lnRef idx="2">
          <a:schemeClr val="accent1">
            <a:shade val="80000"/>
          </a:schemeClr>
        </a:lnRef>
        <a:fillRef idx="0">
          <a:schemeClr val="accent1"/>
        </a:fillRef>
        <a:effectRef idx="0">
          <a:scrgbClr r="0" g="0" b="0"/>
        </a:effectRef>
        <a:fontRef idx="minor"/>
      </dsp:style>
      <dsp:txXfrm>
        <a:off x="3074558" y="712500"/>
        <a:ext cx="158014" cy="786484"/>
      </dsp:txXfrm>
    </dsp:sp>
    <dsp:sp modelId="{D25F950A-D266-41E0-8B8B-DE3B414A00EB}">
      <dsp:nvSpPr>
        <dsp:cNvPr id="44" name="任意多边形 43"/>
        <dsp:cNvSpPr/>
      </dsp:nvSpPr>
      <dsp:spPr bwMode="white">
        <a:xfrm>
          <a:off x="3074558" y="712500"/>
          <a:ext cx="158014" cy="1263131"/>
        </a:xfrm>
        <a:custGeom>
          <a:avLst/>
          <a:gdLst/>
          <a:ahLst/>
          <a:cxnLst/>
          <a:pathLst>
            <a:path w="249" h="1989">
              <a:moveTo>
                <a:pt x="0" y="0"/>
              </a:moveTo>
              <a:lnTo>
                <a:pt x="0" y="1989"/>
              </a:lnTo>
              <a:lnTo>
                <a:pt x="249" y="1989"/>
              </a:lnTo>
            </a:path>
          </a:pathLst>
        </a:custGeom>
      </dsp:spPr>
      <dsp:style>
        <a:lnRef idx="2">
          <a:schemeClr val="accent1">
            <a:shade val="80000"/>
          </a:schemeClr>
        </a:lnRef>
        <a:fillRef idx="0">
          <a:schemeClr val="accent1"/>
        </a:fillRef>
        <a:effectRef idx="0">
          <a:scrgbClr r="0" g="0" b="0"/>
        </a:effectRef>
        <a:fontRef idx="minor"/>
      </dsp:style>
      <dsp:txXfrm>
        <a:off x="3074558" y="712500"/>
        <a:ext cx="158014" cy="1263131"/>
      </dsp:txXfrm>
    </dsp:sp>
    <dsp:sp modelId="{30B696BC-FEC8-49CF-B27C-034B7BE5DB3E}">
      <dsp:nvSpPr>
        <dsp:cNvPr id="47" name="任意多边形 46"/>
        <dsp:cNvSpPr/>
      </dsp:nvSpPr>
      <dsp:spPr bwMode="white">
        <a:xfrm>
          <a:off x="3074558" y="712500"/>
          <a:ext cx="158014" cy="1738211"/>
        </a:xfrm>
        <a:custGeom>
          <a:avLst/>
          <a:gdLst/>
          <a:ahLst/>
          <a:cxnLst/>
          <a:pathLst>
            <a:path w="249" h="2737">
              <a:moveTo>
                <a:pt x="0" y="0"/>
              </a:moveTo>
              <a:lnTo>
                <a:pt x="0" y="2737"/>
              </a:lnTo>
              <a:lnTo>
                <a:pt x="249" y="2737"/>
              </a:lnTo>
            </a:path>
          </a:pathLst>
        </a:custGeom>
      </dsp:spPr>
      <dsp:style>
        <a:lnRef idx="2">
          <a:schemeClr val="accent1">
            <a:shade val="80000"/>
          </a:schemeClr>
        </a:lnRef>
        <a:fillRef idx="0">
          <a:schemeClr val="accent1"/>
        </a:fillRef>
        <a:effectRef idx="0">
          <a:scrgbClr r="0" g="0" b="0"/>
        </a:effectRef>
        <a:fontRef idx="minor"/>
      </dsp:style>
      <dsp:txXfrm>
        <a:off x="3074558" y="712500"/>
        <a:ext cx="158014" cy="1738211"/>
      </dsp:txXfrm>
    </dsp:sp>
    <dsp:sp modelId="{276C1CC1-7F0C-4CC3-AEC3-CBD756171566}">
      <dsp:nvSpPr>
        <dsp:cNvPr id="50" name="任意多边形 49"/>
        <dsp:cNvSpPr/>
      </dsp:nvSpPr>
      <dsp:spPr bwMode="white">
        <a:xfrm>
          <a:off x="3074558" y="712500"/>
          <a:ext cx="158014" cy="2198672"/>
        </a:xfrm>
        <a:custGeom>
          <a:avLst/>
          <a:gdLst/>
          <a:ahLst/>
          <a:cxnLst/>
          <a:pathLst>
            <a:path w="249" h="3462">
              <a:moveTo>
                <a:pt x="0" y="0"/>
              </a:moveTo>
              <a:lnTo>
                <a:pt x="0" y="3462"/>
              </a:lnTo>
              <a:lnTo>
                <a:pt x="249" y="3462"/>
              </a:lnTo>
            </a:path>
          </a:pathLst>
        </a:custGeom>
      </dsp:spPr>
      <dsp:style>
        <a:lnRef idx="2">
          <a:schemeClr val="accent1">
            <a:shade val="80000"/>
          </a:schemeClr>
        </a:lnRef>
        <a:fillRef idx="0">
          <a:schemeClr val="accent1"/>
        </a:fillRef>
        <a:effectRef idx="0">
          <a:scrgbClr r="0" g="0" b="0"/>
        </a:effectRef>
        <a:fontRef idx="minor"/>
      </dsp:style>
      <dsp:txXfrm>
        <a:off x="3074558" y="712500"/>
        <a:ext cx="158014" cy="2198672"/>
      </dsp:txXfrm>
    </dsp:sp>
    <dsp:sp modelId="{C1E43B74-F442-490E-9D1B-0ECC1FF6EFED}">
      <dsp:nvSpPr>
        <dsp:cNvPr id="53" name="任意多边形 52"/>
        <dsp:cNvSpPr/>
      </dsp:nvSpPr>
      <dsp:spPr bwMode="white">
        <a:xfrm>
          <a:off x="2522978" y="321985"/>
          <a:ext cx="2069073" cy="115504"/>
        </a:xfrm>
        <a:custGeom>
          <a:avLst/>
          <a:gdLst/>
          <a:ahLst/>
          <a:cxnLst/>
          <a:pathLst>
            <a:path w="3258" h="182">
              <a:moveTo>
                <a:pt x="0" y="0"/>
              </a:moveTo>
              <a:lnTo>
                <a:pt x="0" y="91"/>
              </a:lnTo>
              <a:lnTo>
                <a:pt x="3258" y="91"/>
              </a:lnTo>
              <a:lnTo>
                <a:pt x="3258" y="182"/>
              </a:lnTo>
            </a:path>
          </a:pathLst>
        </a:custGeom>
      </dsp:spPr>
      <dsp:style>
        <a:lnRef idx="2">
          <a:schemeClr val="accent1">
            <a:shade val="60000"/>
          </a:schemeClr>
        </a:lnRef>
        <a:fillRef idx="0">
          <a:schemeClr val="accent1"/>
        </a:fillRef>
        <a:effectRef idx="0">
          <a:scrgbClr r="0" g="0" b="0"/>
        </a:effectRef>
        <a:fontRef idx="minor"/>
      </dsp:style>
      <dsp:txXfrm>
        <a:off x="2522978" y="321985"/>
        <a:ext cx="2069073" cy="115504"/>
      </dsp:txXfrm>
    </dsp:sp>
    <dsp:sp modelId="{47B174BE-7074-43D5-8851-FC748908FB6F}">
      <dsp:nvSpPr>
        <dsp:cNvPr id="56" name="任意多边形 55"/>
        <dsp:cNvSpPr/>
      </dsp:nvSpPr>
      <dsp:spPr bwMode="white">
        <a:xfrm>
          <a:off x="4228927" y="712500"/>
          <a:ext cx="136171" cy="253009"/>
        </a:xfrm>
        <a:custGeom>
          <a:avLst/>
          <a:gdLst/>
          <a:ahLst/>
          <a:cxnLst/>
          <a:pathLst>
            <a:path w="214" h="398">
              <a:moveTo>
                <a:pt x="0" y="0"/>
              </a:moveTo>
              <a:lnTo>
                <a:pt x="0" y="398"/>
              </a:lnTo>
              <a:lnTo>
                <a:pt x="214" y="398"/>
              </a:lnTo>
            </a:path>
          </a:pathLst>
        </a:custGeom>
      </dsp:spPr>
      <dsp:style>
        <a:lnRef idx="2">
          <a:schemeClr val="accent1">
            <a:shade val="80000"/>
          </a:schemeClr>
        </a:lnRef>
        <a:fillRef idx="0">
          <a:schemeClr val="accent1"/>
        </a:fillRef>
        <a:effectRef idx="0">
          <a:scrgbClr r="0" g="0" b="0"/>
        </a:effectRef>
        <a:fontRef idx="minor"/>
      </dsp:style>
      <dsp:txXfrm>
        <a:off x="4228927" y="712500"/>
        <a:ext cx="136171" cy="253009"/>
      </dsp:txXfrm>
    </dsp:sp>
    <dsp:sp modelId="{CC347B82-48A6-4EC6-A0D3-821F6BE5985F}">
      <dsp:nvSpPr>
        <dsp:cNvPr id="59" name="任意多边形 58"/>
        <dsp:cNvSpPr/>
      </dsp:nvSpPr>
      <dsp:spPr bwMode="white">
        <a:xfrm>
          <a:off x="4228927" y="712500"/>
          <a:ext cx="136171" cy="643524"/>
        </a:xfrm>
        <a:custGeom>
          <a:avLst/>
          <a:gdLst/>
          <a:ahLst/>
          <a:cxnLst/>
          <a:pathLst>
            <a:path w="214" h="1013">
              <a:moveTo>
                <a:pt x="0" y="0"/>
              </a:moveTo>
              <a:lnTo>
                <a:pt x="0" y="1013"/>
              </a:lnTo>
              <a:lnTo>
                <a:pt x="214" y="1013"/>
              </a:lnTo>
            </a:path>
          </a:pathLst>
        </a:custGeom>
      </dsp:spPr>
      <dsp:style>
        <a:lnRef idx="2">
          <a:schemeClr val="accent1">
            <a:shade val="80000"/>
          </a:schemeClr>
        </a:lnRef>
        <a:fillRef idx="0">
          <a:schemeClr val="accent1"/>
        </a:fillRef>
        <a:effectRef idx="0">
          <a:scrgbClr r="0" g="0" b="0"/>
        </a:effectRef>
        <a:fontRef idx="minor"/>
      </dsp:style>
      <dsp:txXfrm>
        <a:off x="4228927" y="712500"/>
        <a:ext cx="136171" cy="643524"/>
      </dsp:txXfrm>
    </dsp:sp>
    <dsp:sp modelId="{A3589812-09FB-47D7-8AF5-5B8B8B249DB2}">
      <dsp:nvSpPr>
        <dsp:cNvPr id="62" name="任意多边形 61"/>
        <dsp:cNvSpPr/>
      </dsp:nvSpPr>
      <dsp:spPr bwMode="white">
        <a:xfrm>
          <a:off x="4228927" y="712500"/>
          <a:ext cx="136171" cy="1034039"/>
        </a:xfrm>
        <a:custGeom>
          <a:avLst/>
          <a:gdLst/>
          <a:ahLst/>
          <a:cxnLst/>
          <a:pathLst>
            <a:path w="214" h="1628">
              <a:moveTo>
                <a:pt x="0" y="0"/>
              </a:moveTo>
              <a:lnTo>
                <a:pt x="0" y="1628"/>
              </a:lnTo>
              <a:lnTo>
                <a:pt x="214" y="1628"/>
              </a:lnTo>
            </a:path>
          </a:pathLst>
        </a:custGeom>
      </dsp:spPr>
      <dsp:style>
        <a:lnRef idx="2">
          <a:schemeClr val="accent1">
            <a:shade val="80000"/>
          </a:schemeClr>
        </a:lnRef>
        <a:fillRef idx="0">
          <a:schemeClr val="accent1"/>
        </a:fillRef>
        <a:effectRef idx="0">
          <a:scrgbClr r="0" g="0" b="0"/>
        </a:effectRef>
        <a:fontRef idx="minor"/>
      </dsp:style>
      <dsp:txXfrm>
        <a:off x="4228927" y="712500"/>
        <a:ext cx="136171" cy="1034039"/>
      </dsp:txXfrm>
    </dsp:sp>
    <dsp:sp modelId="{F3172634-F213-4CCD-9377-916EE95E6FEB}">
      <dsp:nvSpPr>
        <dsp:cNvPr id="65" name="任意多边形 64"/>
        <dsp:cNvSpPr/>
      </dsp:nvSpPr>
      <dsp:spPr bwMode="white">
        <a:xfrm>
          <a:off x="4228927" y="712500"/>
          <a:ext cx="136171" cy="1424553"/>
        </a:xfrm>
        <a:custGeom>
          <a:avLst/>
          <a:gdLst/>
          <a:ahLst/>
          <a:cxnLst/>
          <a:pathLst>
            <a:path w="214" h="2243">
              <a:moveTo>
                <a:pt x="0" y="0"/>
              </a:moveTo>
              <a:lnTo>
                <a:pt x="0" y="2243"/>
              </a:lnTo>
              <a:lnTo>
                <a:pt x="214" y="2243"/>
              </a:lnTo>
            </a:path>
          </a:pathLst>
        </a:custGeom>
      </dsp:spPr>
      <dsp:style>
        <a:lnRef idx="2">
          <a:schemeClr val="accent1">
            <a:shade val="80000"/>
          </a:schemeClr>
        </a:lnRef>
        <a:fillRef idx="0">
          <a:schemeClr val="accent1"/>
        </a:fillRef>
        <a:effectRef idx="0">
          <a:scrgbClr r="0" g="0" b="0"/>
        </a:effectRef>
        <a:fontRef idx="minor"/>
      </dsp:style>
      <dsp:txXfrm>
        <a:off x="4228927" y="712500"/>
        <a:ext cx="136171" cy="1424553"/>
      </dsp:txXfrm>
    </dsp:sp>
    <dsp:sp modelId="{B99F5AA7-5D83-460F-A4F4-F2DF85AD8846}">
      <dsp:nvSpPr>
        <dsp:cNvPr id="68" name="任意多边形 67"/>
        <dsp:cNvSpPr/>
      </dsp:nvSpPr>
      <dsp:spPr bwMode="white">
        <a:xfrm>
          <a:off x="4228927" y="712500"/>
          <a:ext cx="136171" cy="1862722"/>
        </a:xfrm>
        <a:custGeom>
          <a:avLst/>
          <a:gdLst/>
          <a:ahLst/>
          <a:cxnLst/>
          <a:pathLst>
            <a:path w="214" h="2933">
              <a:moveTo>
                <a:pt x="0" y="0"/>
              </a:moveTo>
              <a:lnTo>
                <a:pt x="0" y="2933"/>
              </a:lnTo>
              <a:lnTo>
                <a:pt x="214" y="2933"/>
              </a:lnTo>
            </a:path>
          </a:pathLst>
        </a:custGeom>
      </dsp:spPr>
      <dsp:style>
        <a:lnRef idx="2">
          <a:schemeClr val="accent1">
            <a:shade val="80000"/>
          </a:schemeClr>
        </a:lnRef>
        <a:fillRef idx="0">
          <a:schemeClr val="accent1"/>
        </a:fillRef>
        <a:effectRef idx="0">
          <a:scrgbClr r="0" g="0" b="0"/>
        </a:effectRef>
        <a:fontRef idx="minor"/>
      </dsp:style>
      <dsp:txXfrm>
        <a:off x="4228927" y="712500"/>
        <a:ext cx="136171" cy="1862722"/>
      </dsp:txXfrm>
    </dsp:sp>
    <dsp:sp modelId="{D52DC5B6-8E30-4F09-A453-3053DAA342B7}">
      <dsp:nvSpPr>
        <dsp:cNvPr id="71" name="任意多边形 70"/>
        <dsp:cNvSpPr/>
      </dsp:nvSpPr>
      <dsp:spPr bwMode="white">
        <a:xfrm>
          <a:off x="4228927" y="712500"/>
          <a:ext cx="136171" cy="2300890"/>
        </a:xfrm>
        <a:custGeom>
          <a:avLst/>
          <a:gdLst/>
          <a:ahLst/>
          <a:cxnLst/>
          <a:pathLst>
            <a:path w="214" h="3623">
              <a:moveTo>
                <a:pt x="0" y="0"/>
              </a:moveTo>
              <a:lnTo>
                <a:pt x="0" y="3623"/>
              </a:lnTo>
              <a:lnTo>
                <a:pt x="214" y="3623"/>
              </a:lnTo>
            </a:path>
          </a:pathLst>
        </a:custGeom>
      </dsp:spPr>
      <dsp:style>
        <a:lnRef idx="2">
          <a:schemeClr val="accent1">
            <a:shade val="80000"/>
          </a:schemeClr>
        </a:lnRef>
        <a:fillRef idx="0">
          <a:schemeClr val="accent1"/>
        </a:fillRef>
        <a:effectRef idx="0">
          <a:scrgbClr r="0" g="0" b="0"/>
        </a:effectRef>
        <a:fontRef idx="minor"/>
      </dsp:style>
      <dsp:txXfrm>
        <a:off x="4228927" y="712500"/>
        <a:ext cx="136171" cy="2300890"/>
      </dsp:txXfrm>
    </dsp:sp>
    <dsp:sp modelId="{89183F5B-3F62-42CB-9D08-675320EEAF4E}">
      <dsp:nvSpPr>
        <dsp:cNvPr id="74" name="任意多边形 73"/>
        <dsp:cNvSpPr/>
      </dsp:nvSpPr>
      <dsp:spPr bwMode="white">
        <a:xfrm>
          <a:off x="4228927" y="712500"/>
          <a:ext cx="136171" cy="2691405"/>
        </a:xfrm>
        <a:custGeom>
          <a:avLst/>
          <a:gdLst/>
          <a:ahLst/>
          <a:cxnLst/>
          <a:pathLst>
            <a:path w="214" h="4238">
              <a:moveTo>
                <a:pt x="0" y="0"/>
              </a:moveTo>
              <a:lnTo>
                <a:pt x="0" y="4238"/>
              </a:lnTo>
              <a:lnTo>
                <a:pt x="214" y="4238"/>
              </a:lnTo>
            </a:path>
          </a:pathLst>
        </a:custGeom>
      </dsp:spPr>
      <dsp:style>
        <a:lnRef idx="2">
          <a:schemeClr val="accent1">
            <a:shade val="80000"/>
          </a:schemeClr>
        </a:lnRef>
        <a:fillRef idx="0">
          <a:schemeClr val="accent1"/>
        </a:fillRef>
        <a:effectRef idx="0">
          <a:scrgbClr r="0" g="0" b="0"/>
        </a:effectRef>
        <a:fontRef idx="minor"/>
      </dsp:style>
      <dsp:txXfrm>
        <a:off x="4228927" y="712500"/>
        <a:ext cx="136171" cy="2691405"/>
      </dsp:txXfrm>
    </dsp:sp>
    <dsp:sp modelId="{0AE86E30-06FE-4E2D-9C89-37197C6D2B29}">
      <dsp:nvSpPr>
        <dsp:cNvPr id="3" name="矩形 2"/>
        <dsp:cNvSpPr/>
      </dsp:nvSpPr>
      <dsp:spPr bwMode="white">
        <a:xfrm>
          <a:off x="1978636" y="46975"/>
          <a:ext cx="1088683" cy="275010"/>
        </a:xfrm>
        <a:prstGeom prst="rect">
          <a:avLst/>
        </a:prstGeom>
      </dsp:spPr>
      <dsp:style>
        <a:lnRef idx="2">
          <a:schemeClr val="lt1"/>
        </a:lnRef>
        <a:fillRef idx="1">
          <a:schemeClr val="accent1"/>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ctr">
            <a:lnSpc>
              <a:spcPct val="100000"/>
            </a:lnSpc>
            <a:spcBef>
              <a:spcPct val="0"/>
            </a:spcBef>
            <a:spcAft>
              <a:spcPct val="35000"/>
            </a:spcAft>
          </a:pPr>
          <a:r>
            <a:rPr lang="zh-CN" altLang="en-US" sz="1000"/>
            <a:t>可视化监控中心</a:t>
          </a:r>
        </a:p>
      </dsp:txBody>
      <dsp:txXfrm>
        <a:off x="1978636" y="46975"/>
        <a:ext cx="1088683" cy="275010"/>
      </dsp:txXfrm>
    </dsp:sp>
    <dsp:sp modelId="{15D5A321-F15D-434C-8920-BC20B74C763F}">
      <dsp:nvSpPr>
        <dsp:cNvPr id="6" name="矩形 5"/>
        <dsp:cNvSpPr/>
      </dsp:nvSpPr>
      <dsp:spPr bwMode="white">
        <a:xfrm>
          <a:off x="0" y="437490"/>
          <a:ext cx="839821" cy="275010"/>
        </a:xfrm>
        <a:prstGeom prst="rect">
          <a:avLst/>
        </a:prstGeom>
      </dsp:spPr>
      <dsp:style>
        <a:lnRef idx="2">
          <a:schemeClr val="lt1"/>
        </a:lnRef>
        <a:fillRef idx="1">
          <a:schemeClr val="accent1"/>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ctr">
            <a:lnSpc>
              <a:spcPct val="100000"/>
            </a:lnSpc>
            <a:spcBef>
              <a:spcPct val="0"/>
            </a:spcBef>
            <a:spcAft>
              <a:spcPct val="35000"/>
            </a:spcAft>
          </a:pPr>
          <a:r>
            <a:rPr lang="zh-CN" altLang="en-US" sz="1000"/>
            <a:t>服务全景图</a:t>
          </a:r>
        </a:p>
      </dsp:txBody>
      <dsp:txXfrm>
        <a:off x="0" y="437490"/>
        <a:ext cx="839821" cy="275010"/>
      </dsp:txXfrm>
    </dsp:sp>
    <dsp:sp modelId="{68E0F6D3-BF63-4491-857F-52AADC5F2158}">
      <dsp:nvSpPr>
        <dsp:cNvPr id="9" name="矩形 8"/>
        <dsp:cNvSpPr/>
      </dsp:nvSpPr>
      <dsp:spPr bwMode="white">
        <a:xfrm>
          <a:off x="955325" y="437490"/>
          <a:ext cx="754711" cy="275010"/>
        </a:xfrm>
        <a:prstGeom prst="rect">
          <a:avLst/>
        </a:prstGeom>
      </dsp:spPr>
      <dsp:style>
        <a:lnRef idx="2">
          <a:schemeClr val="lt1"/>
        </a:lnRef>
        <a:fillRef idx="1">
          <a:schemeClr val="accent1"/>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ctr">
            <a:lnSpc>
              <a:spcPct val="100000"/>
            </a:lnSpc>
            <a:spcBef>
              <a:spcPct val="0"/>
            </a:spcBef>
            <a:spcAft>
              <a:spcPct val="35000"/>
            </a:spcAft>
          </a:pPr>
          <a:r>
            <a:rPr lang="zh-CN" altLang="en-US" sz="1000"/>
            <a:t>一键巡检</a:t>
          </a:r>
        </a:p>
      </dsp:txBody>
      <dsp:txXfrm>
        <a:off x="955325" y="437490"/>
        <a:ext cx="754711" cy="275010"/>
      </dsp:txXfrm>
    </dsp:sp>
    <dsp:sp modelId="{719FFC00-67ED-4259-9901-A0AA8C8B47F4}">
      <dsp:nvSpPr>
        <dsp:cNvPr id="12" name="矩形 11"/>
        <dsp:cNvSpPr/>
      </dsp:nvSpPr>
      <dsp:spPr bwMode="white">
        <a:xfrm>
          <a:off x="1144003" y="828004"/>
          <a:ext cx="629922" cy="311017"/>
        </a:xfrm>
        <a:prstGeom prst="rect">
          <a:avLst/>
        </a:prstGeom>
      </dsp:spPr>
      <dsp:style>
        <a:lnRef idx="2">
          <a:schemeClr val="lt1"/>
        </a:lnRef>
        <a:fillRef idx="1">
          <a:schemeClr val="accent1"/>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ctr">
            <a:lnSpc>
              <a:spcPct val="100000"/>
            </a:lnSpc>
            <a:spcBef>
              <a:spcPct val="0"/>
            </a:spcBef>
            <a:spcAft>
              <a:spcPct val="35000"/>
            </a:spcAft>
          </a:pPr>
          <a:r>
            <a:rPr lang="zh-CN" altLang="en-US" sz="1000"/>
            <a:t>健康巡检</a:t>
          </a:r>
          <a:endParaRPr lang="en-US" altLang="zh-CN" sz="1000"/>
        </a:p>
      </dsp:txBody>
      <dsp:txXfrm>
        <a:off x="1144003" y="828004"/>
        <a:ext cx="629922" cy="311017"/>
      </dsp:txXfrm>
    </dsp:sp>
    <dsp:sp modelId="{49B89AF1-97DD-47C1-BC7A-C7AA47A3E051}">
      <dsp:nvSpPr>
        <dsp:cNvPr id="15" name="矩形 14"/>
        <dsp:cNvSpPr/>
      </dsp:nvSpPr>
      <dsp:spPr bwMode="white">
        <a:xfrm>
          <a:off x="1825540" y="437490"/>
          <a:ext cx="1028170" cy="275010"/>
        </a:xfrm>
        <a:prstGeom prst="rect">
          <a:avLst/>
        </a:prstGeom>
      </dsp:spPr>
      <dsp:style>
        <a:lnRef idx="2">
          <a:schemeClr val="lt1"/>
        </a:lnRef>
        <a:fillRef idx="1">
          <a:schemeClr val="accent1"/>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ctr">
            <a:lnSpc>
              <a:spcPct val="100000"/>
            </a:lnSpc>
            <a:spcBef>
              <a:spcPct val="0"/>
            </a:spcBef>
            <a:spcAft>
              <a:spcPct val="35000"/>
            </a:spcAft>
          </a:pPr>
          <a:r>
            <a:rPr lang="zh-CN" altLang="en-US" sz="1000"/>
            <a:t>服务可靠性</a:t>
          </a:r>
        </a:p>
      </dsp:txBody>
      <dsp:txXfrm>
        <a:off x="1825540" y="437490"/>
        <a:ext cx="1028170" cy="275010"/>
      </dsp:txXfrm>
    </dsp:sp>
    <dsp:sp modelId="{47483285-30C6-4570-A940-1E51515E46B3}">
      <dsp:nvSpPr>
        <dsp:cNvPr id="18" name="矩形 17"/>
        <dsp:cNvSpPr/>
      </dsp:nvSpPr>
      <dsp:spPr bwMode="white">
        <a:xfrm>
          <a:off x="2082583" y="828004"/>
          <a:ext cx="640972" cy="381717"/>
        </a:xfrm>
        <a:prstGeom prst="rect">
          <a:avLst/>
        </a:prstGeom>
      </dsp:spPr>
      <dsp:style>
        <a:lnRef idx="2">
          <a:schemeClr val="lt1"/>
        </a:lnRef>
        <a:fillRef idx="1">
          <a:schemeClr val="accent1"/>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ctr">
            <a:lnSpc>
              <a:spcPct val="100000"/>
            </a:lnSpc>
            <a:spcBef>
              <a:spcPct val="0"/>
            </a:spcBef>
            <a:spcAft>
              <a:spcPct val="35000"/>
            </a:spcAft>
          </a:pPr>
          <a:r>
            <a:rPr lang="zh-CN" altLang="en-US" sz="1000"/>
            <a:t>业务容灾管理</a:t>
          </a:r>
        </a:p>
      </dsp:txBody>
      <dsp:txXfrm>
        <a:off x="2082583" y="828004"/>
        <a:ext cx="640972" cy="381717"/>
      </dsp:txXfrm>
    </dsp:sp>
    <dsp:sp modelId="{D4103C60-95B9-4278-973A-4CA83D5F3C23}">
      <dsp:nvSpPr>
        <dsp:cNvPr id="21" name="矩形 20"/>
        <dsp:cNvSpPr/>
      </dsp:nvSpPr>
      <dsp:spPr bwMode="white">
        <a:xfrm>
          <a:off x="2082583" y="1325226"/>
          <a:ext cx="730427" cy="341035"/>
        </a:xfrm>
        <a:prstGeom prst="rect">
          <a:avLst/>
        </a:prstGeom>
      </dsp:spPr>
      <dsp:style>
        <a:lnRef idx="2">
          <a:schemeClr val="lt1"/>
        </a:lnRef>
        <a:fillRef idx="1">
          <a:schemeClr val="accent1"/>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ctr">
            <a:lnSpc>
              <a:spcPct val="100000"/>
            </a:lnSpc>
            <a:spcBef>
              <a:spcPct val="0"/>
            </a:spcBef>
            <a:spcAft>
              <a:spcPct val="35000"/>
            </a:spcAft>
          </a:pPr>
          <a:r>
            <a:rPr lang="zh-CN" altLang="en-US" sz="1000"/>
            <a:t>虚拟机备份管理</a:t>
          </a:r>
        </a:p>
      </dsp:txBody>
      <dsp:txXfrm>
        <a:off x="2082583" y="1325226"/>
        <a:ext cx="730427" cy="341035"/>
      </dsp:txXfrm>
    </dsp:sp>
    <dsp:sp modelId="{A7DC2473-0E1A-477C-8419-9E0CE8623E58}">
      <dsp:nvSpPr>
        <dsp:cNvPr id="24" name="矩形 23"/>
        <dsp:cNvSpPr/>
      </dsp:nvSpPr>
      <dsp:spPr bwMode="white">
        <a:xfrm>
          <a:off x="2082583" y="1781765"/>
          <a:ext cx="748485" cy="390641"/>
        </a:xfrm>
        <a:prstGeom prst="rect">
          <a:avLst/>
        </a:prstGeom>
      </dsp:spPr>
      <dsp:style>
        <a:lnRef idx="2">
          <a:schemeClr val="lt1"/>
        </a:lnRef>
        <a:fillRef idx="1">
          <a:schemeClr val="accent1"/>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ctr">
            <a:lnSpc>
              <a:spcPct val="100000"/>
            </a:lnSpc>
            <a:spcBef>
              <a:spcPct val="0"/>
            </a:spcBef>
            <a:spcAft>
              <a:spcPct val="35000"/>
            </a:spcAft>
          </a:pPr>
          <a:r>
            <a:rPr lang="zh-CN" altLang="en-US" sz="1000"/>
            <a:t>集群高可靠（</a:t>
          </a:r>
          <a:r>
            <a:rPr lang="en-US" altLang="zh-CN" sz="1000"/>
            <a:t>HA</a:t>
          </a:r>
          <a:r>
            <a:rPr lang="zh-CN" altLang="en-US" sz="1000"/>
            <a:t>）</a:t>
          </a:r>
        </a:p>
      </dsp:txBody>
      <dsp:txXfrm>
        <a:off x="2082583" y="1781765"/>
        <a:ext cx="748485" cy="390641"/>
      </dsp:txXfrm>
    </dsp:sp>
    <dsp:sp modelId="{6054E834-8112-4BF6-AC92-17639A640AEF}">
      <dsp:nvSpPr>
        <dsp:cNvPr id="27" name="矩形 26"/>
        <dsp:cNvSpPr/>
      </dsp:nvSpPr>
      <dsp:spPr bwMode="white">
        <a:xfrm>
          <a:off x="2082583" y="2287910"/>
          <a:ext cx="738353" cy="333015"/>
        </a:xfrm>
        <a:prstGeom prst="rect">
          <a:avLst/>
        </a:prstGeom>
      </dsp:spPr>
      <dsp:style>
        <a:lnRef idx="2">
          <a:schemeClr val="lt1"/>
        </a:lnRef>
        <a:fillRef idx="1">
          <a:schemeClr val="accent1"/>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ctr">
            <a:lnSpc>
              <a:spcPct val="100000"/>
            </a:lnSpc>
            <a:spcBef>
              <a:spcPct val="0"/>
            </a:spcBef>
            <a:spcAft>
              <a:spcPct val="35000"/>
            </a:spcAft>
          </a:pPr>
          <a:r>
            <a:rPr lang="zh-CN" altLang="en-US" sz="1000"/>
            <a:t>动态资源调度（</a:t>
          </a:r>
          <a:r>
            <a:rPr lang="en-US" altLang="zh-CN" sz="1000"/>
            <a:t>DRS</a:t>
          </a:r>
          <a:r>
            <a:rPr lang="zh-CN" altLang="en-US" sz="1000"/>
            <a:t>）</a:t>
          </a:r>
        </a:p>
      </dsp:txBody>
      <dsp:txXfrm>
        <a:off x="2082583" y="2287910"/>
        <a:ext cx="738353" cy="333015"/>
      </dsp:txXfrm>
    </dsp:sp>
    <dsp:sp modelId="{2838B24C-0341-47FD-B61F-FC388FD5A058}">
      <dsp:nvSpPr>
        <dsp:cNvPr id="30" name="矩形 29"/>
        <dsp:cNvSpPr/>
      </dsp:nvSpPr>
      <dsp:spPr bwMode="white">
        <a:xfrm>
          <a:off x="2082583" y="2736430"/>
          <a:ext cx="550021" cy="275010"/>
        </a:xfrm>
        <a:prstGeom prst="rect">
          <a:avLst/>
        </a:prstGeom>
      </dsp:spPr>
      <dsp:style>
        <a:lnRef idx="2">
          <a:schemeClr val="lt1"/>
        </a:lnRef>
        <a:fillRef idx="1">
          <a:schemeClr val="accent1"/>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ctr">
            <a:lnSpc>
              <a:spcPct val="100000"/>
            </a:lnSpc>
            <a:spcBef>
              <a:spcPct val="0"/>
            </a:spcBef>
            <a:spcAft>
              <a:spcPct val="35000"/>
            </a:spcAft>
          </a:pPr>
          <a:r>
            <a:rPr lang="zh-CN" altLang="en-US" sz="1000"/>
            <a:t>应用</a:t>
          </a:r>
          <a:r>
            <a:rPr lang="en-US" altLang="zh-CN" sz="1000"/>
            <a:t>HA</a:t>
          </a:r>
          <a:endParaRPr lang="zh-CN" altLang="en-US" sz="1000"/>
        </a:p>
      </dsp:txBody>
      <dsp:txXfrm>
        <a:off x="2082583" y="2736430"/>
        <a:ext cx="550021" cy="275010"/>
      </dsp:txXfrm>
    </dsp:sp>
    <dsp:sp modelId="{397787AF-C5C9-4F96-BF64-364D6F950985}">
      <dsp:nvSpPr>
        <dsp:cNvPr id="33" name="矩形 32"/>
        <dsp:cNvSpPr/>
      </dsp:nvSpPr>
      <dsp:spPr bwMode="white">
        <a:xfrm>
          <a:off x="2082583" y="3126945"/>
          <a:ext cx="730592" cy="382319"/>
        </a:xfrm>
        <a:prstGeom prst="rect">
          <a:avLst/>
        </a:prstGeom>
      </dsp:spPr>
      <dsp:style>
        <a:lnRef idx="2">
          <a:schemeClr val="lt1"/>
        </a:lnRef>
        <a:fillRef idx="1">
          <a:schemeClr val="accent1"/>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ctr">
            <a:lnSpc>
              <a:spcPct val="100000"/>
            </a:lnSpc>
            <a:spcBef>
              <a:spcPct val="0"/>
            </a:spcBef>
            <a:spcAft>
              <a:spcPct val="35000"/>
            </a:spcAft>
          </a:pPr>
          <a:r>
            <a:rPr lang="zh-CN" altLang="en-US" sz="1000"/>
            <a:t>虚拟机运行状态</a:t>
          </a:r>
        </a:p>
      </dsp:txBody>
      <dsp:txXfrm>
        <a:off x="2082583" y="3126945"/>
        <a:ext cx="730592" cy="382319"/>
      </dsp:txXfrm>
    </dsp:sp>
    <dsp:sp modelId="{71C759E5-A01F-4DD1-A0A1-86AFA232F979}">
      <dsp:nvSpPr>
        <dsp:cNvPr id="36" name="矩形 35"/>
        <dsp:cNvSpPr/>
      </dsp:nvSpPr>
      <dsp:spPr bwMode="white">
        <a:xfrm>
          <a:off x="2969215" y="437490"/>
          <a:ext cx="1053427" cy="275010"/>
        </a:xfrm>
        <a:prstGeom prst="rect">
          <a:avLst/>
        </a:prstGeom>
      </dsp:spPr>
      <dsp:style>
        <a:lnRef idx="2">
          <a:schemeClr val="lt1"/>
        </a:lnRef>
        <a:fillRef idx="1">
          <a:schemeClr val="accent1"/>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ctr">
            <a:lnSpc>
              <a:spcPct val="100000"/>
            </a:lnSpc>
            <a:spcBef>
              <a:spcPct val="0"/>
            </a:spcBef>
            <a:spcAft>
              <a:spcPct val="35000"/>
            </a:spcAft>
          </a:pPr>
          <a:r>
            <a:rPr lang="zh-CN" altLang="en-US" sz="1000"/>
            <a:t>系统可靠性</a:t>
          </a:r>
        </a:p>
      </dsp:txBody>
      <dsp:txXfrm>
        <a:off x="2969215" y="437490"/>
        <a:ext cx="1053427" cy="275010"/>
      </dsp:txXfrm>
    </dsp:sp>
    <dsp:sp modelId="{8043AE37-95B8-4F0C-B378-765FBFED8EA1}">
      <dsp:nvSpPr>
        <dsp:cNvPr id="39" name="矩形 38"/>
        <dsp:cNvSpPr/>
      </dsp:nvSpPr>
      <dsp:spPr bwMode="white">
        <a:xfrm>
          <a:off x="3232572" y="828004"/>
          <a:ext cx="691904" cy="387957"/>
        </a:xfrm>
        <a:prstGeom prst="rect">
          <a:avLst/>
        </a:prstGeom>
      </dsp:spPr>
      <dsp:style>
        <a:lnRef idx="2">
          <a:schemeClr val="lt1"/>
        </a:lnRef>
        <a:fillRef idx="1">
          <a:schemeClr val="accent1"/>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ctr">
            <a:lnSpc>
              <a:spcPct val="100000"/>
            </a:lnSpc>
            <a:spcBef>
              <a:spcPct val="0"/>
            </a:spcBef>
            <a:spcAft>
              <a:spcPct val="35000"/>
            </a:spcAft>
          </a:pPr>
          <a:r>
            <a:rPr lang="zh-CN" sz="1000"/>
            <a:t>集群</a:t>
          </a:r>
          <a:r>
            <a:rPr lang="zh-CN" altLang="en-US" sz="1000"/>
            <a:t>主机</a:t>
          </a:r>
          <a:r>
            <a:rPr lang="zh-CN" sz="1000"/>
            <a:t>状态</a:t>
          </a:r>
          <a:endParaRPr lang="zh-CN" altLang="en-US" sz="1000"/>
        </a:p>
      </dsp:txBody>
      <dsp:txXfrm>
        <a:off x="3232572" y="828004"/>
        <a:ext cx="691904" cy="387957"/>
      </dsp:txXfrm>
    </dsp:sp>
    <dsp:sp modelId="{A89C2EC7-FA44-4184-B2D4-86E451C0AB8C}">
      <dsp:nvSpPr>
        <dsp:cNvPr id="42" name="矩形 41"/>
        <dsp:cNvSpPr/>
      </dsp:nvSpPr>
      <dsp:spPr bwMode="white">
        <a:xfrm>
          <a:off x="3232572" y="1331466"/>
          <a:ext cx="643546" cy="335037"/>
        </a:xfrm>
        <a:prstGeom prst="rect">
          <a:avLst/>
        </a:prstGeom>
      </dsp:spPr>
      <dsp:style>
        <a:lnRef idx="2">
          <a:schemeClr val="lt1"/>
        </a:lnRef>
        <a:fillRef idx="1">
          <a:schemeClr val="accent1"/>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ctr">
            <a:lnSpc>
              <a:spcPct val="100000"/>
            </a:lnSpc>
            <a:spcBef>
              <a:spcPct val="0"/>
            </a:spcBef>
            <a:spcAft>
              <a:spcPct val="35000"/>
            </a:spcAft>
          </a:pPr>
          <a:r>
            <a:rPr lang="zh-CN" altLang="en-US" sz="1000"/>
            <a:t>资源过载状态</a:t>
          </a:r>
        </a:p>
      </dsp:txBody>
      <dsp:txXfrm>
        <a:off x="3232572" y="1331466"/>
        <a:ext cx="643546" cy="335037"/>
      </dsp:txXfrm>
    </dsp:sp>
    <dsp:sp modelId="{468AF7AA-E455-443E-B9C1-6C67E9DC9CF2}">
      <dsp:nvSpPr>
        <dsp:cNvPr id="45" name="矩形 44"/>
        <dsp:cNvSpPr/>
      </dsp:nvSpPr>
      <dsp:spPr bwMode="white">
        <a:xfrm>
          <a:off x="3232572" y="1782007"/>
          <a:ext cx="654492" cy="387248"/>
        </a:xfrm>
        <a:prstGeom prst="rect">
          <a:avLst/>
        </a:prstGeom>
      </dsp:spPr>
      <dsp:style>
        <a:lnRef idx="2">
          <a:schemeClr val="lt1"/>
        </a:lnRef>
        <a:fillRef idx="1">
          <a:schemeClr val="accent1"/>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ctr">
            <a:lnSpc>
              <a:spcPct val="100000"/>
            </a:lnSpc>
            <a:spcBef>
              <a:spcPct val="0"/>
            </a:spcBef>
            <a:spcAft>
              <a:spcPct val="35000"/>
            </a:spcAft>
          </a:pPr>
          <a:r>
            <a:rPr lang="zh-CN" altLang="en-US" sz="1000"/>
            <a:t>网络配置状态</a:t>
          </a:r>
        </a:p>
      </dsp:txBody>
      <dsp:txXfrm>
        <a:off x="3232572" y="1782007"/>
        <a:ext cx="654492" cy="387248"/>
      </dsp:txXfrm>
    </dsp:sp>
    <dsp:sp modelId="{7A441A33-DE78-432A-903D-2C2077868252}">
      <dsp:nvSpPr>
        <dsp:cNvPr id="48" name="矩形 47"/>
        <dsp:cNvSpPr/>
      </dsp:nvSpPr>
      <dsp:spPr bwMode="white">
        <a:xfrm>
          <a:off x="3232572" y="2284759"/>
          <a:ext cx="744442" cy="331904"/>
        </a:xfrm>
        <a:prstGeom prst="rect">
          <a:avLst/>
        </a:prstGeom>
      </dsp:spPr>
      <dsp:style>
        <a:lnRef idx="2">
          <a:schemeClr val="lt1"/>
        </a:lnRef>
        <a:fillRef idx="1">
          <a:schemeClr val="accent1"/>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ctr">
            <a:lnSpc>
              <a:spcPct val="100000"/>
            </a:lnSpc>
            <a:spcBef>
              <a:spcPct val="0"/>
            </a:spcBef>
            <a:spcAft>
              <a:spcPct val="35000"/>
            </a:spcAft>
          </a:pPr>
          <a:r>
            <a:rPr lang="zh-CN" altLang="en-US" sz="1000"/>
            <a:t>分布式存储集群状态</a:t>
          </a:r>
        </a:p>
      </dsp:txBody>
      <dsp:txXfrm>
        <a:off x="3232572" y="2284759"/>
        <a:ext cx="744442" cy="331904"/>
      </dsp:txXfrm>
    </dsp:sp>
    <dsp:sp modelId="{6FD9B61C-B635-425D-9800-4D5CED31EA50}">
      <dsp:nvSpPr>
        <dsp:cNvPr id="51" name="矩形 50"/>
        <dsp:cNvSpPr/>
      </dsp:nvSpPr>
      <dsp:spPr bwMode="white">
        <a:xfrm>
          <a:off x="3232572" y="2732167"/>
          <a:ext cx="723134" cy="358008"/>
        </a:xfrm>
        <a:prstGeom prst="rect">
          <a:avLst/>
        </a:prstGeom>
      </dsp:spPr>
      <dsp:style>
        <a:lnRef idx="2">
          <a:schemeClr val="lt1"/>
        </a:lnRef>
        <a:fillRef idx="1">
          <a:schemeClr val="accent1"/>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ctr">
            <a:lnSpc>
              <a:spcPct val="100000"/>
            </a:lnSpc>
            <a:spcBef>
              <a:spcPct val="0"/>
            </a:spcBef>
            <a:spcAft>
              <a:spcPct val="35000"/>
            </a:spcAft>
          </a:pPr>
          <a:r>
            <a:rPr lang="zh-CN" altLang="en-US" sz="1000"/>
            <a:t>分布式存储数据池状态</a:t>
          </a:r>
        </a:p>
      </dsp:txBody>
      <dsp:txXfrm>
        <a:off x="3232572" y="2732167"/>
        <a:ext cx="723134" cy="358008"/>
      </dsp:txXfrm>
    </dsp:sp>
    <dsp:sp modelId="{9247ABA2-F318-42DB-AEF4-5AF81BE38FAA}">
      <dsp:nvSpPr>
        <dsp:cNvPr id="54" name="矩形 53"/>
        <dsp:cNvSpPr/>
      </dsp:nvSpPr>
      <dsp:spPr bwMode="white">
        <a:xfrm>
          <a:off x="4138146" y="437490"/>
          <a:ext cx="907809" cy="275010"/>
        </a:xfrm>
        <a:prstGeom prst="rect">
          <a:avLst/>
        </a:prstGeom>
      </dsp:spPr>
      <dsp:style>
        <a:lnRef idx="2">
          <a:schemeClr val="lt1"/>
        </a:lnRef>
        <a:fillRef idx="1">
          <a:schemeClr val="accent1"/>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ctr">
            <a:lnSpc>
              <a:spcPct val="100000"/>
            </a:lnSpc>
            <a:spcBef>
              <a:spcPct val="0"/>
            </a:spcBef>
            <a:spcAft>
              <a:spcPct val="35000"/>
            </a:spcAft>
          </a:pPr>
          <a:r>
            <a:rPr lang="zh-CN" altLang="en-US" sz="1000"/>
            <a:t>硬件可靠性</a:t>
          </a:r>
        </a:p>
      </dsp:txBody>
      <dsp:txXfrm>
        <a:off x="4138146" y="437490"/>
        <a:ext cx="907809" cy="275010"/>
      </dsp:txXfrm>
    </dsp:sp>
    <dsp:sp modelId="{D5877B22-CFE7-4DE0-BACB-E973394F64BA}">
      <dsp:nvSpPr>
        <dsp:cNvPr id="57" name="矩形 56"/>
        <dsp:cNvSpPr/>
      </dsp:nvSpPr>
      <dsp:spPr bwMode="white">
        <a:xfrm>
          <a:off x="4365098" y="828004"/>
          <a:ext cx="550021" cy="275010"/>
        </a:xfrm>
        <a:prstGeom prst="rect">
          <a:avLst/>
        </a:prstGeom>
      </dsp:spPr>
      <dsp:style>
        <a:lnRef idx="2">
          <a:schemeClr val="lt1"/>
        </a:lnRef>
        <a:fillRef idx="1">
          <a:schemeClr val="accent1"/>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ctr">
            <a:lnSpc>
              <a:spcPct val="100000"/>
            </a:lnSpc>
            <a:spcBef>
              <a:spcPct val="0"/>
            </a:spcBef>
            <a:spcAft>
              <a:spcPct val="35000"/>
            </a:spcAft>
          </a:pPr>
          <a:r>
            <a:rPr lang="en-US" altLang="zh-CN" sz="1000"/>
            <a:t>CPU</a:t>
          </a:r>
          <a:endParaRPr lang="zh-CN" altLang="en-US" sz="1000"/>
        </a:p>
      </dsp:txBody>
      <dsp:txXfrm>
        <a:off x="4365098" y="828004"/>
        <a:ext cx="550021" cy="275010"/>
      </dsp:txXfrm>
    </dsp:sp>
    <dsp:sp modelId="{1793880F-F3C9-422E-81B0-7A1A7D51FA33}">
      <dsp:nvSpPr>
        <dsp:cNvPr id="60" name="矩形 59"/>
        <dsp:cNvSpPr/>
      </dsp:nvSpPr>
      <dsp:spPr bwMode="white">
        <a:xfrm>
          <a:off x="4365098" y="1218519"/>
          <a:ext cx="645328" cy="275010"/>
        </a:xfrm>
        <a:prstGeom prst="rect">
          <a:avLst/>
        </a:prstGeom>
      </dsp:spPr>
      <dsp:style>
        <a:lnRef idx="2">
          <a:schemeClr val="lt1"/>
        </a:lnRef>
        <a:fillRef idx="1">
          <a:schemeClr val="accent1"/>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ctr">
            <a:lnSpc>
              <a:spcPct val="100000"/>
            </a:lnSpc>
            <a:spcBef>
              <a:spcPct val="0"/>
            </a:spcBef>
            <a:spcAft>
              <a:spcPct val="35000"/>
            </a:spcAft>
          </a:pPr>
          <a:r>
            <a:rPr lang="zh-CN" altLang="en-US" sz="1000"/>
            <a:t>内存硬件</a:t>
          </a:r>
        </a:p>
      </dsp:txBody>
      <dsp:txXfrm>
        <a:off x="4365098" y="1218519"/>
        <a:ext cx="645328" cy="275010"/>
      </dsp:txXfrm>
    </dsp:sp>
    <dsp:sp modelId="{D91D2494-6542-426F-95EC-524A3E6C6E9E}">
      <dsp:nvSpPr>
        <dsp:cNvPr id="63" name="矩形 62"/>
        <dsp:cNvSpPr/>
      </dsp:nvSpPr>
      <dsp:spPr bwMode="white">
        <a:xfrm>
          <a:off x="4365098" y="1609034"/>
          <a:ext cx="664397" cy="275010"/>
        </a:xfrm>
        <a:prstGeom prst="rect">
          <a:avLst/>
        </a:prstGeom>
      </dsp:spPr>
      <dsp:style>
        <a:lnRef idx="2">
          <a:schemeClr val="lt1"/>
        </a:lnRef>
        <a:fillRef idx="1">
          <a:schemeClr val="accent1"/>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ctr">
            <a:lnSpc>
              <a:spcPct val="100000"/>
            </a:lnSpc>
            <a:spcBef>
              <a:spcPct val="0"/>
            </a:spcBef>
            <a:spcAft>
              <a:spcPct val="35000"/>
            </a:spcAft>
          </a:pPr>
          <a:r>
            <a:rPr lang="zh-CN" altLang="en-US" sz="1000"/>
            <a:t>物理磁盘</a:t>
          </a:r>
        </a:p>
      </dsp:txBody>
      <dsp:txXfrm>
        <a:off x="4365098" y="1609034"/>
        <a:ext cx="664397" cy="275010"/>
      </dsp:txXfrm>
    </dsp:sp>
    <dsp:sp modelId="{8105E564-5E33-48F7-9B57-1822F5AC710C}">
      <dsp:nvSpPr>
        <dsp:cNvPr id="66" name="矩形 65"/>
        <dsp:cNvSpPr/>
      </dsp:nvSpPr>
      <dsp:spPr bwMode="white">
        <a:xfrm>
          <a:off x="4365098" y="1999548"/>
          <a:ext cx="664386" cy="275010"/>
        </a:xfrm>
        <a:prstGeom prst="rect">
          <a:avLst/>
        </a:prstGeom>
      </dsp:spPr>
      <dsp:style>
        <a:lnRef idx="2">
          <a:schemeClr val="lt1"/>
        </a:lnRef>
        <a:fillRef idx="1">
          <a:schemeClr val="accent1"/>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ctr">
            <a:lnSpc>
              <a:spcPct val="100000"/>
            </a:lnSpc>
            <a:spcBef>
              <a:spcPct val="0"/>
            </a:spcBef>
            <a:spcAft>
              <a:spcPct val="35000"/>
            </a:spcAft>
          </a:pPr>
          <a:r>
            <a:rPr lang="zh-CN" altLang="en-US" sz="1000"/>
            <a:t>逻辑磁盘</a:t>
          </a:r>
        </a:p>
      </dsp:txBody>
      <dsp:txXfrm>
        <a:off x="4365098" y="1999548"/>
        <a:ext cx="664386" cy="275010"/>
      </dsp:txXfrm>
    </dsp:sp>
    <dsp:sp modelId="{C68B121C-E998-437C-9453-551C74411EA1}">
      <dsp:nvSpPr>
        <dsp:cNvPr id="69" name="矩形 68"/>
        <dsp:cNvSpPr/>
      </dsp:nvSpPr>
      <dsp:spPr bwMode="white">
        <a:xfrm>
          <a:off x="4365098" y="2390063"/>
          <a:ext cx="909212" cy="370318"/>
        </a:xfrm>
        <a:prstGeom prst="rect">
          <a:avLst/>
        </a:prstGeom>
      </dsp:spPr>
      <dsp:style>
        <a:lnRef idx="2">
          <a:schemeClr val="lt1"/>
        </a:lnRef>
        <a:fillRef idx="1">
          <a:schemeClr val="accent1"/>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ctr">
            <a:lnSpc>
              <a:spcPct val="100000"/>
            </a:lnSpc>
            <a:spcBef>
              <a:spcPct val="0"/>
            </a:spcBef>
            <a:spcAft>
              <a:spcPct val="35000"/>
            </a:spcAft>
          </a:pPr>
          <a:r>
            <a:rPr lang="zh-CN" altLang="en-US" sz="1000"/>
            <a:t>分布式存储资源利用率</a:t>
          </a:r>
        </a:p>
      </dsp:txBody>
      <dsp:txXfrm>
        <a:off x="4365098" y="2390063"/>
        <a:ext cx="909212" cy="370318"/>
      </dsp:txXfrm>
    </dsp:sp>
    <dsp:sp modelId="{BE5E8A09-965D-46FD-BE43-25D0FC68057C}">
      <dsp:nvSpPr>
        <dsp:cNvPr id="72" name="矩形 71"/>
        <dsp:cNvSpPr/>
      </dsp:nvSpPr>
      <dsp:spPr bwMode="white">
        <a:xfrm>
          <a:off x="4365098" y="2875885"/>
          <a:ext cx="645328" cy="275010"/>
        </a:xfrm>
        <a:prstGeom prst="rect">
          <a:avLst/>
        </a:prstGeom>
      </dsp:spPr>
      <dsp:style>
        <a:lnRef idx="2">
          <a:schemeClr val="lt1"/>
        </a:lnRef>
        <a:fillRef idx="1">
          <a:schemeClr val="accent1"/>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ctr">
            <a:lnSpc>
              <a:spcPct val="100000"/>
            </a:lnSpc>
            <a:spcBef>
              <a:spcPct val="0"/>
            </a:spcBef>
            <a:spcAft>
              <a:spcPct val="35000"/>
            </a:spcAft>
          </a:pPr>
          <a:r>
            <a:rPr lang="zh-CN" altLang="en-US" sz="1000"/>
            <a:t>物理网卡</a:t>
          </a:r>
        </a:p>
      </dsp:txBody>
      <dsp:txXfrm>
        <a:off x="4365098" y="2875885"/>
        <a:ext cx="645328" cy="275010"/>
      </dsp:txXfrm>
    </dsp:sp>
    <dsp:sp modelId="{46B393A1-5ED9-4A47-A1C5-FF1683AD125D}">
      <dsp:nvSpPr>
        <dsp:cNvPr id="75" name="矩形 74"/>
        <dsp:cNvSpPr/>
      </dsp:nvSpPr>
      <dsp:spPr bwMode="white">
        <a:xfrm>
          <a:off x="4365098" y="3266400"/>
          <a:ext cx="550021" cy="275010"/>
        </a:xfrm>
        <a:prstGeom prst="rect">
          <a:avLst/>
        </a:prstGeom>
      </dsp:spPr>
      <dsp:style>
        <a:lnRef idx="2">
          <a:schemeClr val="lt1"/>
        </a:lnRef>
        <a:fillRef idx="1">
          <a:schemeClr val="accent1"/>
        </a:fillRef>
        <a:effectRef idx="0">
          <a:scrgbClr r="0" g="0" b="0"/>
        </a:effectRef>
        <a:fontRef idx="minor">
          <a:schemeClr val="lt1"/>
        </a:fontRef>
      </dsp:style>
      <dsp:txBody>
        <a:bodyPr lIns="6350" tIns="6350" rIns="6350" bIns="6350" anchor="ctr"/>
        <a:lstStyle>
          <a:lvl1pPr algn="ctr">
            <a:defRPr sz="6500"/>
          </a:lvl1pPr>
          <a:lvl2pPr marL="285750" indent="-285750" algn="ctr">
            <a:defRPr sz="5000"/>
          </a:lvl2pPr>
          <a:lvl3pPr marL="571500" indent="-285750" algn="ctr">
            <a:defRPr sz="5000"/>
          </a:lvl3pPr>
          <a:lvl4pPr marL="857250" indent="-285750" algn="ctr">
            <a:defRPr sz="5000"/>
          </a:lvl4pPr>
          <a:lvl5pPr marL="1143000" indent="-285750" algn="ctr">
            <a:defRPr sz="5000"/>
          </a:lvl5pPr>
          <a:lvl6pPr marL="1428750" indent="-285750" algn="ctr">
            <a:defRPr sz="5000"/>
          </a:lvl6pPr>
          <a:lvl7pPr marL="1714500" indent="-285750" algn="ctr">
            <a:defRPr sz="5000"/>
          </a:lvl7pPr>
          <a:lvl8pPr marL="2000250" indent="-285750" algn="ctr">
            <a:defRPr sz="5000"/>
          </a:lvl8pPr>
          <a:lvl9pPr marL="2286000" indent="-285750" algn="ctr">
            <a:defRPr sz="5000"/>
          </a:lvl9pPr>
        </a:lstStyle>
        <a:p>
          <a:pPr lvl="0" algn="ctr">
            <a:lnSpc>
              <a:spcPct val="100000"/>
            </a:lnSpc>
            <a:spcBef>
              <a:spcPct val="0"/>
            </a:spcBef>
            <a:spcAft>
              <a:spcPct val="35000"/>
            </a:spcAft>
          </a:pPr>
          <a:r>
            <a:rPr lang="en-US" altLang="zh-CN" sz="1000"/>
            <a:t>RAID</a:t>
          </a:r>
          <a:r>
            <a:rPr lang="zh-CN" altLang="en-US" sz="1000"/>
            <a:t>卡</a:t>
          </a:r>
        </a:p>
      </dsp:txBody>
      <dsp:txXfrm>
        <a:off x="4365098" y="3266400"/>
        <a:ext cx="550021" cy="275010"/>
      </dsp:txXfrm>
    </dsp:sp>
    <dsp:sp modelId="{70CCACD5-FC43-4DD6-B005-20D1774DD677}">
      <dsp:nvSpPr>
        <dsp:cNvPr id="4" name="矩形 3" hidden="1"/>
        <dsp:cNvSpPr/>
      </dsp:nvSpPr>
      <dsp:spPr>
        <a:xfrm>
          <a:off x="1978636" y="46975"/>
          <a:ext cx="217737" cy="275010"/>
        </a:xfrm>
        <a:prstGeom prst="rect">
          <a:avLst/>
        </a:prstGeom>
      </dsp:spPr>
      <dsp:txXfrm>
        <a:off x="1978636" y="46975"/>
        <a:ext cx="217737" cy="275010"/>
      </dsp:txXfrm>
    </dsp:sp>
    <dsp:sp modelId="{4906DA2B-FBB3-410E-8D00-4F36EFC9C5AC}">
      <dsp:nvSpPr>
        <dsp:cNvPr id="7" name="矩形 6" hidden="1"/>
        <dsp:cNvSpPr/>
      </dsp:nvSpPr>
      <dsp:spPr>
        <a:xfrm>
          <a:off x="0" y="437490"/>
          <a:ext cx="167964" cy="275010"/>
        </a:xfrm>
        <a:prstGeom prst="rect">
          <a:avLst/>
        </a:prstGeom>
      </dsp:spPr>
      <dsp:txXfrm>
        <a:off x="0" y="437490"/>
        <a:ext cx="167964" cy="275010"/>
      </dsp:txXfrm>
    </dsp:sp>
    <dsp:sp modelId="{2B7B0ADD-747A-4F9C-A6A7-3B1089C19F4D}">
      <dsp:nvSpPr>
        <dsp:cNvPr id="10" name="矩形 9" hidden="1"/>
        <dsp:cNvSpPr/>
      </dsp:nvSpPr>
      <dsp:spPr>
        <a:xfrm>
          <a:off x="955325" y="437490"/>
          <a:ext cx="150942" cy="275010"/>
        </a:xfrm>
        <a:prstGeom prst="rect">
          <a:avLst/>
        </a:prstGeom>
      </dsp:spPr>
      <dsp:txXfrm>
        <a:off x="955325" y="437490"/>
        <a:ext cx="150942" cy="275010"/>
      </dsp:txXfrm>
    </dsp:sp>
    <dsp:sp modelId="{46190AB5-6B7D-4545-B8D1-BB588F6E928E}">
      <dsp:nvSpPr>
        <dsp:cNvPr id="13" name="矩形 12" hidden="1"/>
        <dsp:cNvSpPr/>
      </dsp:nvSpPr>
      <dsp:spPr>
        <a:xfrm>
          <a:off x="1144003" y="828004"/>
          <a:ext cx="125984" cy="311017"/>
        </a:xfrm>
        <a:prstGeom prst="rect">
          <a:avLst/>
        </a:prstGeom>
      </dsp:spPr>
      <dsp:txXfrm>
        <a:off x="1144003" y="828004"/>
        <a:ext cx="125984" cy="311017"/>
      </dsp:txXfrm>
    </dsp:sp>
    <dsp:sp modelId="{70A454C8-0610-473B-991F-2665A23794BB}">
      <dsp:nvSpPr>
        <dsp:cNvPr id="16" name="矩形 15" hidden="1"/>
        <dsp:cNvSpPr/>
      </dsp:nvSpPr>
      <dsp:spPr>
        <a:xfrm>
          <a:off x="1825540" y="437490"/>
          <a:ext cx="205634" cy="275010"/>
        </a:xfrm>
        <a:prstGeom prst="rect">
          <a:avLst/>
        </a:prstGeom>
      </dsp:spPr>
      <dsp:txXfrm>
        <a:off x="1825540" y="437490"/>
        <a:ext cx="205634" cy="275010"/>
      </dsp:txXfrm>
    </dsp:sp>
    <dsp:sp modelId="{2A09611D-DD36-4378-9ACC-B315EC6CD6B1}">
      <dsp:nvSpPr>
        <dsp:cNvPr id="19" name="矩形 18" hidden="1"/>
        <dsp:cNvSpPr/>
      </dsp:nvSpPr>
      <dsp:spPr>
        <a:xfrm>
          <a:off x="2082583" y="828004"/>
          <a:ext cx="128194" cy="381717"/>
        </a:xfrm>
        <a:prstGeom prst="rect">
          <a:avLst/>
        </a:prstGeom>
      </dsp:spPr>
      <dsp:txXfrm>
        <a:off x="2082583" y="828004"/>
        <a:ext cx="128194" cy="381717"/>
      </dsp:txXfrm>
    </dsp:sp>
    <dsp:sp modelId="{7B5D60F8-1563-4E59-B150-3195B6B461AB}">
      <dsp:nvSpPr>
        <dsp:cNvPr id="22" name="矩形 21" hidden="1"/>
        <dsp:cNvSpPr/>
      </dsp:nvSpPr>
      <dsp:spPr>
        <a:xfrm>
          <a:off x="2082583" y="1325226"/>
          <a:ext cx="146085" cy="341035"/>
        </a:xfrm>
        <a:prstGeom prst="rect">
          <a:avLst/>
        </a:prstGeom>
      </dsp:spPr>
      <dsp:txXfrm>
        <a:off x="2082583" y="1325226"/>
        <a:ext cx="146085" cy="341035"/>
      </dsp:txXfrm>
    </dsp:sp>
    <dsp:sp modelId="{350EDFBE-8956-41F0-BDD9-C57085E390FA}">
      <dsp:nvSpPr>
        <dsp:cNvPr id="25" name="矩形 24" hidden="1"/>
        <dsp:cNvSpPr/>
      </dsp:nvSpPr>
      <dsp:spPr>
        <a:xfrm>
          <a:off x="2082583" y="1781765"/>
          <a:ext cx="149697" cy="390641"/>
        </a:xfrm>
        <a:prstGeom prst="rect">
          <a:avLst/>
        </a:prstGeom>
      </dsp:spPr>
      <dsp:txXfrm>
        <a:off x="2082583" y="1781765"/>
        <a:ext cx="149697" cy="390641"/>
      </dsp:txXfrm>
    </dsp:sp>
    <dsp:sp modelId="{872AC66D-5BAE-499E-ADC5-0D9341EAE656}">
      <dsp:nvSpPr>
        <dsp:cNvPr id="28" name="矩形 27" hidden="1"/>
        <dsp:cNvSpPr/>
      </dsp:nvSpPr>
      <dsp:spPr>
        <a:xfrm>
          <a:off x="2082583" y="2287910"/>
          <a:ext cx="147671" cy="333015"/>
        </a:xfrm>
        <a:prstGeom prst="rect">
          <a:avLst/>
        </a:prstGeom>
      </dsp:spPr>
      <dsp:txXfrm>
        <a:off x="2082583" y="2287910"/>
        <a:ext cx="147671" cy="333015"/>
      </dsp:txXfrm>
    </dsp:sp>
    <dsp:sp modelId="{1CCE46DA-7A0C-4F87-9D06-A511BC6267C0}">
      <dsp:nvSpPr>
        <dsp:cNvPr id="31" name="矩形 30" hidden="1"/>
        <dsp:cNvSpPr/>
      </dsp:nvSpPr>
      <dsp:spPr>
        <a:xfrm>
          <a:off x="2082583" y="2736430"/>
          <a:ext cx="110004" cy="275010"/>
        </a:xfrm>
        <a:prstGeom prst="rect">
          <a:avLst/>
        </a:prstGeom>
      </dsp:spPr>
      <dsp:txXfrm>
        <a:off x="2082583" y="2736430"/>
        <a:ext cx="110004" cy="275010"/>
      </dsp:txXfrm>
    </dsp:sp>
    <dsp:sp modelId="{1A82A35E-DB20-42E7-9B46-1C785AC1C197}">
      <dsp:nvSpPr>
        <dsp:cNvPr id="34" name="矩形 33" hidden="1"/>
        <dsp:cNvSpPr/>
      </dsp:nvSpPr>
      <dsp:spPr>
        <a:xfrm>
          <a:off x="2082583" y="3126945"/>
          <a:ext cx="146118" cy="382319"/>
        </a:xfrm>
        <a:prstGeom prst="rect">
          <a:avLst/>
        </a:prstGeom>
      </dsp:spPr>
      <dsp:txXfrm>
        <a:off x="2082583" y="3126945"/>
        <a:ext cx="146118" cy="382319"/>
      </dsp:txXfrm>
    </dsp:sp>
    <dsp:sp modelId="{5CAF2817-11EB-4CBC-BFF1-ACF2F1B89787}">
      <dsp:nvSpPr>
        <dsp:cNvPr id="37" name="矩形 36" hidden="1"/>
        <dsp:cNvSpPr/>
      </dsp:nvSpPr>
      <dsp:spPr>
        <a:xfrm>
          <a:off x="2969215" y="437490"/>
          <a:ext cx="210685" cy="275010"/>
        </a:xfrm>
        <a:prstGeom prst="rect">
          <a:avLst/>
        </a:prstGeom>
      </dsp:spPr>
      <dsp:txXfrm>
        <a:off x="2969215" y="437490"/>
        <a:ext cx="210685" cy="275010"/>
      </dsp:txXfrm>
    </dsp:sp>
    <dsp:sp modelId="{EA2B60CC-09AE-489D-B64D-FB35E3B315EB}">
      <dsp:nvSpPr>
        <dsp:cNvPr id="40" name="矩形 39" hidden="1"/>
        <dsp:cNvSpPr/>
      </dsp:nvSpPr>
      <dsp:spPr>
        <a:xfrm>
          <a:off x="3232572" y="828004"/>
          <a:ext cx="138381" cy="387957"/>
        </a:xfrm>
        <a:prstGeom prst="rect">
          <a:avLst/>
        </a:prstGeom>
      </dsp:spPr>
      <dsp:txXfrm>
        <a:off x="3232572" y="828004"/>
        <a:ext cx="138381" cy="387957"/>
      </dsp:txXfrm>
    </dsp:sp>
    <dsp:sp modelId="{A8D484FE-4C5C-41DB-BC95-1EC688C91D00}">
      <dsp:nvSpPr>
        <dsp:cNvPr id="43" name="矩形 42" hidden="1"/>
        <dsp:cNvSpPr/>
      </dsp:nvSpPr>
      <dsp:spPr>
        <a:xfrm>
          <a:off x="3232572" y="1331466"/>
          <a:ext cx="128709" cy="335037"/>
        </a:xfrm>
        <a:prstGeom prst="rect">
          <a:avLst/>
        </a:prstGeom>
      </dsp:spPr>
      <dsp:txXfrm>
        <a:off x="3232572" y="1331466"/>
        <a:ext cx="128709" cy="335037"/>
      </dsp:txXfrm>
    </dsp:sp>
    <dsp:sp modelId="{7838E614-A789-45DC-B44A-D0531A9DB281}">
      <dsp:nvSpPr>
        <dsp:cNvPr id="46" name="矩形 45" hidden="1"/>
        <dsp:cNvSpPr/>
      </dsp:nvSpPr>
      <dsp:spPr>
        <a:xfrm>
          <a:off x="3232572" y="1782007"/>
          <a:ext cx="130898" cy="387248"/>
        </a:xfrm>
        <a:prstGeom prst="rect">
          <a:avLst/>
        </a:prstGeom>
      </dsp:spPr>
      <dsp:txXfrm>
        <a:off x="3232572" y="1782007"/>
        <a:ext cx="130898" cy="387248"/>
      </dsp:txXfrm>
    </dsp:sp>
    <dsp:sp modelId="{FBD61323-BDAC-448A-AF1D-AFB895C8A5B2}">
      <dsp:nvSpPr>
        <dsp:cNvPr id="49" name="矩形 48" hidden="1"/>
        <dsp:cNvSpPr/>
      </dsp:nvSpPr>
      <dsp:spPr>
        <a:xfrm>
          <a:off x="3232572" y="2284759"/>
          <a:ext cx="148888" cy="331904"/>
        </a:xfrm>
        <a:prstGeom prst="rect">
          <a:avLst/>
        </a:prstGeom>
      </dsp:spPr>
      <dsp:txXfrm>
        <a:off x="3232572" y="2284759"/>
        <a:ext cx="148888" cy="331904"/>
      </dsp:txXfrm>
    </dsp:sp>
    <dsp:sp modelId="{94CCB4B5-8006-47AD-86A4-1FFF62400314}">
      <dsp:nvSpPr>
        <dsp:cNvPr id="52" name="矩形 51" hidden="1"/>
        <dsp:cNvSpPr/>
      </dsp:nvSpPr>
      <dsp:spPr>
        <a:xfrm>
          <a:off x="3232572" y="2732167"/>
          <a:ext cx="144627" cy="358008"/>
        </a:xfrm>
        <a:prstGeom prst="rect">
          <a:avLst/>
        </a:prstGeom>
      </dsp:spPr>
      <dsp:txXfrm>
        <a:off x="3232572" y="2732167"/>
        <a:ext cx="144627" cy="358008"/>
      </dsp:txXfrm>
    </dsp:sp>
    <dsp:sp modelId="{A6541F32-0476-4029-A43D-07F7F542BBEA}">
      <dsp:nvSpPr>
        <dsp:cNvPr id="55" name="矩形 54" hidden="1"/>
        <dsp:cNvSpPr/>
      </dsp:nvSpPr>
      <dsp:spPr>
        <a:xfrm>
          <a:off x="4138146" y="437490"/>
          <a:ext cx="181562" cy="275010"/>
        </a:xfrm>
        <a:prstGeom prst="rect">
          <a:avLst/>
        </a:prstGeom>
      </dsp:spPr>
      <dsp:txXfrm>
        <a:off x="4138146" y="437490"/>
        <a:ext cx="181562" cy="275010"/>
      </dsp:txXfrm>
    </dsp:sp>
    <dsp:sp modelId="{9592D1A4-7148-4913-94FE-AD0BB65FA239}">
      <dsp:nvSpPr>
        <dsp:cNvPr id="58" name="矩形 57" hidden="1"/>
        <dsp:cNvSpPr/>
      </dsp:nvSpPr>
      <dsp:spPr>
        <a:xfrm>
          <a:off x="4365098" y="828004"/>
          <a:ext cx="110004" cy="275010"/>
        </a:xfrm>
        <a:prstGeom prst="rect">
          <a:avLst/>
        </a:prstGeom>
      </dsp:spPr>
      <dsp:txXfrm>
        <a:off x="4365098" y="828004"/>
        <a:ext cx="110004" cy="275010"/>
      </dsp:txXfrm>
    </dsp:sp>
    <dsp:sp modelId="{41812A26-035B-4167-AE36-81AA0CF9FB98}">
      <dsp:nvSpPr>
        <dsp:cNvPr id="61" name="矩形 60" hidden="1"/>
        <dsp:cNvSpPr/>
      </dsp:nvSpPr>
      <dsp:spPr>
        <a:xfrm>
          <a:off x="4365098" y="1218519"/>
          <a:ext cx="129066" cy="275010"/>
        </a:xfrm>
        <a:prstGeom prst="rect">
          <a:avLst/>
        </a:prstGeom>
      </dsp:spPr>
      <dsp:txXfrm>
        <a:off x="4365098" y="1218519"/>
        <a:ext cx="129066" cy="275010"/>
      </dsp:txXfrm>
    </dsp:sp>
    <dsp:sp modelId="{D742EC39-E31B-4A31-8AE5-2854E9331CCD}">
      <dsp:nvSpPr>
        <dsp:cNvPr id="64" name="矩形 63" hidden="1"/>
        <dsp:cNvSpPr/>
      </dsp:nvSpPr>
      <dsp:spPr>
        <a:xfrm>
          <a:off x="4365098" y="1609034"/>
          <a:ext cx="132879" cy="275010"/>
        </a:xfrm>
        <a:prstGeom prst="rect">
          <a:avLst/>
        </a:prstGeom>
      </dsp:spPr>
      <dsp:txXfrm>
        <a:off x="4365098" y="1609034"/>
        <a:ext cx="132879" cy="275010"/>
      </dsp:txXfrm>
    </dsp:sp>
    <dsp:sp modelId="{A031B46C-4604-4E02-9D84-E6108BF1063D}">
      <dsp:nvSpPr>
        <dsp:cNvPr id="67" name="矩形 66" hidden="1"/>
        <dsp:cNvSpPr/>
      </dsp:nvSpPr>
      <dsp:spPr>
        <a:xfrm>
          <a:off x="4365098" y="1999548"/>
          <a:ext cx="132877" cy="275010"/>
        </a:xfrm>
        <a:prstGeom prst="rect">
          <a:avLst/>
        </a:prstGeom>
      </dsp:spPr>
      <dsp:txXfrm>
        <a:off x="4365098" y="1999548"/>
        <a:ext cx="132877" cy="275010"/>
      </dsp:txXfrm>
    </dsp:sp>
    <dsp:sp modelId="{A96A36A3-97C9-466D-9ABD-8184219F276F}">
      <dsp:nvSpPr>
        <dsp:cNvPr id="70" name="矩形 69" hidden="1"/>
        <dsp:cNvSpPr/>
      </dsp:nvSpPr>
      <dsp:spPr>
        <a:xfrm>
          <a:off x="4365098" y="2390063"/>
          <a:ext cx="181842" cy="370318"/>
        </a:xfrm>
        <a:prstGeom prst="rect">
          <a:avLst/>
        </a:prstGeom>
      </dsp:spPr>
      <dsp:txXfrm>
        <a:off x="4365098" y="2390063"/>
        <a:ext cx="181842" cy="370318"/>
      </dsp:txXfrm>
    </dsp:sp>
    <dsp:sp modelId="{92D4328A-8CA5-4B0D-A347-0DEE6DE640D9}">
      <dsp:nvSpPr>
        <dsp:cNvPr id="73" name="矩形 72" hidden="1"/>
        <dsp:cNvSpPr/>
      </dsp:nvSpPr>
      <dsp:spPr>
        <a:xfrm>
          <a:off x="4365098" y="2875885"/>
          <a:ext cx="129066" cy="275010"/>
        </a:xfrm>
        <a:prstGeom prst="rect">
          <a:avLst/>
        </a:prstGeom>
      </dsp:spPr>
      <dsp:txXfrm>
        <a:off x="4365098" y="2875885"/>
        <a:ext cx="129066" cy="275010"/>
      </dsp:txXfrm>
    </dsp:sp>
    <dsp:sp modelId="{E271E75B-F0FF-4600-BD4B-F2A0DE1810E9}">
      <dsp:nvSpPr>
        <dsp:cNvPr id="76" name="矩形 75" hidden="1"/>
        <dsp:cNvSpPr/>
      </dsp:nvSpPr>
      <dsp:spPr>
        <a:xfrm>
          <a:off x="4365098" y="3266400"/>
          <a:ext cx="110004" cy="275010"/>
        </a:xfrm>
        <a:prstGeom prst="rect">
          <a:avLst/>
        </a:prstGeom>
      </dsp:spPr>
      <dsp:txXfrm>
        <a:off x="4365098" y="3266400"/>
        <a:ext cx="110004" cy="275010"/>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linDir" val="fromT"/>
                  <dgm:param type="chAlign" val="r"/>
                </dgm:alg>
              </dgm:if>
              <dgm:if name="Name23" func="var" arg="hierBranch" op="equ" val="r">
                <dgm:alg type="hierChild">
                  <dgm:param type="linDir" val="fromT"/>
                  <dgm:param type="chAlign" val="l"/>
                </dgm:alg>
              </dgm:if>
              <dgm:if name="Name24" func="var" arg="hierBranch" op="equ" val="hang">
                <dgm:choose name="Name25">
                  <dgm:if name="Name26" func="var" arg="dir" op="equ" val="norm">
                    <dgm:alg type="hierChild">
                      <dgm:param type="linDir" val="fromL"/>
                      <dgm:param type="chAlign" val="l"/>
                      <dgm:param type="secLinDir" val="fromT"/>
                      <dgm:param type="secChAlign" val="t"/>
                    </dgm:alg>
                  </dgm:if>
                  <dgm:else name="Name27">
                    <dgm:alg type="hierChild">
                      <dgm:param type="linDir" val="fromR"/>
                      <dgm:param type="chAlign" val="l"/>
                      <dgm:param type="secLinDir" val="fromT"/>
                      <dgm:param type="secChAlign" val="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dim" val="1D"/>
                        <dgm:param type="endSty" val="noArr"/>
                        <dgm:param type="connRout" val="bend"/>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dim" val="1D"/>
                            <dgm:param type="endSty" val="noArr"/>
                            <dgm:param type="connRout" val="bend"/>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dim" val="1D"/>
                                    <dgm:param type="endSty" val="noArr"/>
                                    <dgm:param type="connRout" val="bend"/>
                                    <dgm:param type="begPts" val="bCtr"/>
                                    <dgm:param type="endPts" val="midL midR"/>
                                  </dgm:alg>
                                </dgm:if>
                                <dgm:else name="Name45">
                                  <dgm:alg type="conn">
                                    <dgm:param type="srcNode" val="rootConnector"/>
                                    <dgm:param type="dim" val="1D"/>
                                    <dgm:param type="endSty" val="noArr"/>
                                    <dgm:param type="connRout" val="bend"/>
                                    <dgm:param type="begPts" val="bCtr"/>
                                    <dgm:param type="endPts" val="midL midR"/>
                                  </dgm:alg>
                                </dgm:else>
                              </dgm:choose>
                            </dgm:if>
                            <dgm:else name="Name46">
                              <dgm:alg type="conn">
                                <dgm:param type="dim" val="1D"/>
                                <dgm:param type="endSty" val="noArr"/>
                                <dgm:param type="connRout" val="bend"/>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dim" val="1D"/>
                                <dgm:param type="endSty" val="noArr"/>
                                <dgm:param type="connRout" val="bend"/>
                                <dgm:param type="begPts" val="bCtr"/>
                                <dgm:param type="endPts" val="midL midR"/>
                              </dgm:alg>
                            </dgm:if>
                            <dgm:else name="Name55">
                              <dgm:alg type="conn">
                                <dgm:param type="srcNode" val="rootConnector1"/>
                                <dgm:param type="dim" val="1D"/>
                                <dgm:param type="endSty" val="noArr"/>
                                <dgm:param type="connRout" val="bend"/>
                                <dgm:param type="begPts" val="bCtr"/>
                                <dgm:param type="endPts" val="midL midR"/>
                              </dgm:alg>
                            </dgm:else>
                          </dgm:choose>
                        </dgm:if>
                        <dgm:else name="Name56">
                          <dgm:choose name="Name57">
                            <dgm:if name="Name58" axis="par ch" ptType="node asst" func="cnt" op="gte" val="1">
                              <dgm:alg type="conn">
                                <dgm:param type="dim" val="1D"/>
                                <dgm:param type="endSty" val="noArr"/>
                                <dgm:param type="connRout" val="bend"/>
                                <dgm:param type="begPts" val="bCtr"/>
                                <dgm:param type="endPts" val="midL midR"/>
                              </dgm:alg>
                            </dgm:if>
                            <dgm:else name="Name59">
                              <dgm:alg type="conn">
                                <dgm:param type="srcNode" val="rootConnector"/>
                                <dgm:param type="dim" val="1D"/>
                                <dgm:param type="endSty" val="noArr"/>
                                <dgm:param type="connRout" val="bend"/>
                                <dgm:param type="begPts" val="bCtr"/>
                                <dgm:param type="endPts" val="midL mid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linDir" val="fromT"/>
                        <dgm:param type="chAlign" val="r"/>
                      </dgm:alg>
                    </dgm:if>
                    <dgm:if name="Name85" func="var" arg="hierBranch" op="equ" val="r">
                      <dgm:alg type="hierChild">
                        <dgm:param type="linDir" val="fromT"/>
                        <dgm:param type="chAlign" val="l"/>
                      </dgm:alg>
                    </dgm:if>
                    <dgm:if name="Name86" func="var" arg="hierBranch" op="equ" val="hang">
                      <dgm:choose name="Name87">
                        <dgm:if name="Name88" func="var" arg="dir" op="equ" val="norm">
                          <dgm:alg type="hierChild">
                            <dgm:param type="linDir" val="fromL"/>
                            <dgm:param type="chAlign" val="l"/>
                            <dgm:param type="secLinDir" val="fromT"/>
                            <dgm:param type="secChAlign" val="t"/>
                          </dgm:alg>
                        </dgm:if>
                        <dgm:else name="Name89">
                          <dgm:alg type="hierChild">
                            <dgm:param type="linDir" val="fromR"/>
                            <dgm:param type="chAlign" val="l"/>
                            <dgm:param type="secLinDir" val="fromT"/>
                            <dgm:param type="secChAlign" val="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linDir" val="fromT"/>
                            <dgm:param type="chAlign" val="l"/>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linDir" val="fromL"/>
                        <dgm:param type="chAlign" val="l"/>
                        <dgm:param type="secLinDir" val="fromT"/>
                        <dgm:param type="secChAlign" val="t"/>
                      </dgm:alg>
                    </dgm:if>
                    <dgm:else name="Name105">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linDir" val="fromL"/>
                  <dgm:param type="chAlign" val="l"/>
                  <dgm:param type="secLinDir" val="fromT"/>
                  <dgm:param type="secChAlign" val="t"/>
                </dgm:alg>
              </dgm:if>
              <dgm:else name="Name109">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dim" val="1D"/>
                    <dgm:param type="endSty" val="noArr"/>
                    <dgm:param type="connRout" val="bend"/>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linDir" val="fromT"/>
                        <dgm:param type="chAlign" val="r"/>
                      </dgm:alg>
                    </dgm:if>
                    <dgm:if name="Name129" func="var" arg="hierBranch" op="equ" val="r">
                      <dgm:alg type="hierChild">
                        <dgm:param type="linDir" val="fromT"/>
                        <dgm:param type="chAlign" val="l"/>
                      </dgm:alg>
                    </dgm:if>
                    <dgm:if name="Name130" func="var" arg="hierBranch" op="equ" val="hang">
                      <dgm:choose name="Name131">
                        <dgm:if name="Name132" func="var" arg="dir" op="equ" val="norm">
                          <dgm:alg type="hierChild">
                            <dgm:param type="linDir" val="fromL"/>
                            <dgm:param type="chAlign" val="l"/>
                            <dgm:param type="secLinDir" val="fromT"/>
                            <dgm:param type="secChAlign" val="t"/>
                          </dgm:alg>
                        </dgm:if>
                        <dgm:else name="Name133">
                          <dgm:alg type="hierChild">
                            <dgm:param type="linDir" val="fromR"/>
                            <dgm:param type="chAlign" val="l"/>
                            <dgm:param type="secLinDir" val="fromT"/>
                            <dgm:param type="secChAlign" val="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linDir" val="fromT"/>
                            <dgm:param type="chAlign" val="l"/>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linDir" val="fromL"/>
                        <dgm:param type="chAlign" val="l"/>
                        <dgm:param type="secLinDir" val="fromT"/>
                        <dgm:param type="secChAlign" val="t"/>
                      </dgm:alg>
                    </dgm:if>
                    <dgm:else name="Name146">
                      <dgm:alg type="hierChild">
                        <dgm:param type="linDir" val="fromR"/>
                        <dgm:param type="chAlign" val="l"/>
                        <dgm:param type="secLinDir" val="fromT"/>
                        <dgm:param type="secChAlign" val="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1">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ListFieldsContentType" ma:contentTypeID="0x0101007C2E198DC1CF4049808BF4C2E99B456F00D79413F84CA75146B68E7CAE50A8B94E" ma:contentTypeVersion="" ma:contentTypeDescription="" ma:contentTypeScope="" ma:versionID="26e24379620bce05c8d1915befa91ccc">
  <xsd:schema xmlns:xsd="http://www.w3.org/2001/XMLSchema" xmlns:xs="http://www.w3.org/2001/XMLSchema" xmlns:p="http://schemas.microsoft.com/office/2006/metadata/properties" xmlns:ns1="http://schemas.microsoft.com/sharepoint/v3" xmlns:ns2="08B85384-BD5A-4389-81B1-8853E81C898A" xmlns:ns3="357d3726-067e-4ead-844f-04a922b9c0d7" targetNamespace="http://schemas.microsoft.com/office/2006/metadata/properties" ma:root="true" ma:fieldsID="72c3e7a30325e1cadd0e2c47b7adf515" ns1:_="" ns2:_="" ns3:_="">
    <xsd:import namespace="http://schemas.microsoft.com/sharepoint/v3"/>
    <xsd:import namespace="08B85384-BD5A-4389-81B1-8853E81C898A"/>
    <xsd:import namespace="357d3726-067e-4ead-844f-04a922b9c0d7"/>
    <xsd:element name="properties">
      <xsd:complexType>
        <xsd:sequence>
          <xsd:element name="documentManagement">
            <xsd:complexType>
              <xsd:all>
                <xsd:element ref="ns1:TemplateUrl" minOccurs="0"/>
                <xsd:element ref="ns1:xd_ProgID" minOccurs="0"/>
                <xsd:element ref="ns1:xd_Signature" minOccurs="0"/>
                <xsd:element ref="ns2:FileDownloads" minOccurs="0"/>
                <xsd:element ref="ns2:EndDate" minOccurs="0"/>
                <xsd:element ref="ns2:PMOKeyWords" minOccurs="0"/>
                <xsd:element ref="ns2:IsCPG" minOccurs="0"/>
                <xsd:element ref="ns2:CPGUrl" minOccurs="0"/>
                <xsd:element ref="ns1:URL" minOccurs="0"/>
                <xsd:element ref="ns2:FileTypes" minOccurs="0"/>
                <xsd:element ref="ns2:AuthenticationType" minOccurs="0"/>
                <xsd:element ref="ns2:AuthenticationName" minOccurs="0"/>
                <xsd:element ref="ns2:AuthenticationSubject" minOccurs="0"/>
                <xsd:element ref="ns2:CpgProducts" minOccurs="0"/>
                <xsd:element ref="ns2:NetProducts" minOccurs="0"/>
                <xsd:element ref="ns2:ProductSeries" minOccurs="0"/>
                <xsd:element ref="ns2:Remarks" minOccurs="0"/>
                <xsd:element ref="ns2:ContractIndustry" minOccurs="0"/>
                <xsd:element ref="ns2:ContractAmount" minOccurs="0"/>
                <xsd:element ref="ns2:ContractEndDate" minOccurs="0"/>
                <xsd:element ref="ns2:ContractProducts" minOccurs="0"/>
                <xsd:element ref="ns2:OrderNumber" minOccurs="0"/>
                <xsd:element ref="ns2:DirectSign" minOccurs="0"/>
                <xsd:element ref="ns2:Delay" minOccurs="0"/>
                <xsd:element ref="ns2:EncryptTypes" minOccurs="0"/>
                <xsd:element ref="ns2:EncryptReason" minOccurs="0"/>
                <xsd:element ref="ns2:Visitors"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TemplateUrl" ma:index="1" nillable="true" ma:displayName="模板链接" ma:hidden="true" ma:internalName="TemplateUrl">
      <xsd:simpleType>
        <xsd:restriction base="dms:Text"/>
      </xsd:simpleType>
    </xsd:element>
    <xsd:element name="xd_ProgID" ma:index="2" nillable="true" ma:displayName="HTML 文件链接" ma:hidden="true" ma:internalName="xd_ProgID">
      <xsd:simpleType>
        <xsd:restriction base="dms:Text"/>
      </xsd:simpleType>
    </xsd:element>
    <xsd:element name="xd_Signature" ma:index="3" nillable="true" ma:displayName="已签名" ma:hidden="true" ma:internalName="xd_Signature" ma:readOnly="true">
      <xsd:simpleType>
        <xsd:restriction base="dms:Boolean"/>
      </xsd:simpleType>
    </xsd:element>
    <xsd:element name="URL" ma:index="11" nillable="true" ma:displayName="URL" ma:internalName="URL">
      <xsd:complexType>
        <xsd:complexContent>
          <xsd:extension base="dms:URL">
            <xsd:sequence>
              <xsd:element name="Url" type="dms:ValidUrl" minOccurs="0" nillable="true"/>
              <xsd:element name="Description" type="xsd:string"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8B85384-BD5A-4389-81B1-8853E81C898A" elementFormDefault="qualified">
    <xsd:import namespace="http://schemas.microsoft.com/office/2006/documentManagement/types"/>
    <xsd:import namespace="http://schemas.microsoft.com/office/infopath/2007/PartnerControls"/>
    <xsd:element name="FileDownloads" ma:index="6" nillable="true" ma:displayName="下载数" ma:internalName="FileDownloads">
      <xsd:simpleType>
        <xsd:restriction base="dms:Number"/>
      </xsd:simpleType>
    </xsd:element>
    <xsd:element name="EndDate" ma:index="7" nillable="true" ma:displayName="文档有效期" ma:format="DateOnly" ma:internalName="EndDate">
      <xsd:simpleType>
        <xsd:restriction base="dms:DateTime"/>
      </xsd:simpleType>
    </xsd:element>
    <xsd:element name="PMOKeyWords" ma:index="8" nillable="true" ma:displayName="文档关键字" ma:internalName="PMOKeyWords">
      <xsd:simpleType>
        <xsd:restriction base="dms:Note">
          <xsd:maxLength value="255"/>
        </xsd:restriction>
      </xsd:simpleType>
    </xsd:element>
    <xsd:element name="IsCPG" ma:index="9" nillable="true" ma:displayName="CPG" ma:format="RadioButtons" ma:internalName="CPG">
      <xsd:simpleType>
        <xsd:restriction base="dms:Boolean"/>
      </xsd:simpleType>
    </xsd:element>
    <xsd:element name="CPGUrl" ma:index="10" nillable="true" ma:displayName="CPGUrl" ma:internalName="CPGUrl">
      <xsd:simpleType>
        <xsd:restriction base="dms:Text"/>
      </xsd:simpleType>
    </xsd:element>
    <xsd:element name="FileTypes" ma:index="12" nillable="true" ma:displayName="文件类型" ma:internalName="FileTypes">
      <xsd:simpleType>
        <xsd:restriction base="dms:Text"/>
      </xsd:simpleType>
    </xsd:element>
    <xsd:element name="AuthenticationType" ma:index="13" nillable="true" ma:displayName="认证类型" ma:internalName="AuthenticationType">
      <xsd:simpleType>
        <xsd:restriction base="dms:Text"/>
      </xsd:simpleType>
    </xsd:element>
    <xsd:element name="AuthenticationName" ma:index="14" nillable="true" ma:displayName="认证名称" ma:internalName="AuthenticationName">
      <xsd:simpleType>
        <xsd:restriction base="dms:Text"/>
      </xsd:simpleType>
    </xsd:element>
    <xsd:element name="AuthenticationSubject" ma:index="15" nillable="true" ma:displayName="认证主体" ma:internalName="AuthenticationSubject">
      <xsd:simpleType>
        <xsd:restriction base="dms:Text"/>
      </xsd:simpleType>
    </xsd:element>
    <xsd:element name="CpgProducts" ma:index="16" nillable="true" ma:displayName="产品" ma:internalName="CpgProducts">
      <xsd:simpleType>
        <xsd:restriction base="dms:Note">
          <xsd:maxLength value="255"/>
        </xsd:restriction>
      </xsd:simpleType>
    </xsd:element>
    <xsd:element name="NetProducts" ma:index="17" nillable="true" ma:displayName="网络产品" ma:internalName="NetProducts">
      <xsd:simpleType>
        <xsd:restriction base="dms:Text"/>
      </xsd:simpleType>
    </xsd:element>
    <xsd:element name="ProductSeries" ma:index="18" nillable="true" ma:displayName="产品系列" ma:internalName="ProductSeries">
      <xsd:simpleType>
        <xsd:restriction base="dms:Text"/>
      </xsd:simpleType>
    </xsd:element>
    <xsd:element name="Remarks" ma:index="19" nillable="true" ma:displayName="备注" ma:internalName="Remarks">
      <xsd:simpleType>
        <xsd:restriction base="dms:Note">
          <xsd:maxLength value="255"/>
        </xsd:restriction>
      </xsd:simpleType>
    </xsd:element>
    <xsd:element name="ContractIndustry" ma:index="20" nillable="true" ma:displayName="合同行业" ma:internalName="ContractIndustry">
      <xsd:simpleType>
        <xsd:restriction base="dms:Text"/>
      </xsd:simpleType>
    </xsd:element>
    <xsd:element name="ContractAmount" ma:index="21" nillable="true" ma:displayName="合同金额" ma:internalName="ContractAmount">
      <xsd:simpleType>
        <xsd:restriction base="dms:Currency"/>
      </xsd:simpleType>
    </xsd:element>
    <xsd:element name="ContractEndDate" ma:index="22" nillable="true" ma:displayName="合同日期" ma:internalName="ContractEndDate">
      <xsd:simpleType>
        <xsd:restriction base="dms:Text"/>
      </xsd:simpleType>
    </xsd:element>
    <xsd:element name="ContractProducts" ma:index="23" nillable="true" ma:displayName="合同产品信息" ma:internalName="ContractProducts">
      <xsd:simpleType>
        <xsd:restriction base="dms:Text"/>
      </xsd:simpleType>
    </xsd:element>
    <xsd:element name="OrderNumber" ma:index="24" nillable="true" ma:displayName="订单号" ma:internalName="OrderNumber">
      <xsd:simpleType>
        <xsd:restriction base="dms:Text"/>
      </xsd:simpleType>
    </xsd:element>
    <xsd:element name="DirectSign" ma:index="25" nillable="true" ma:displayName="是否直签" ma:internalName="DirectSign">
      <xsd:simpleType>
        <xsd:restriction base="dms:Boolean"/>
      </xsd:simpleType>
    </xsd:element>
    <xsd:element name="Delay" ma:index="26" nillable="true" ma:displayName="延期次数" ma:internalName="Delay">
      <xsd:simpleType>
        <xsd:restriction base="dms:Text"/>
      </xsd:simpleType>
    </xsd:element>
    <xsd:element name="EncryptTypes" ma:index="27" nillable="true" ma:displayName="加密类型" ma:internalName="EncryptTypes">
      <xsd:simpleType>
        <xsd:restriction base="dms:Text"/>
      </xsd:simpleType>
    </xsd:element>
    <xsd:element name="EncryptReason" ma:index="28" nillable="true" ma:displayName="加密原因" ma:internalName="EncryptReason">
      <xsd:simpleType>
        <xsd:restriction base="dms:Text"/>
      </xsd:simpleType>
    </xsd:element>
    <xsd:element name="Visitors" ma:index="29" nillable="true" ma:displayName="加密访问群体" ma:internalName="Visito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57d3726-067e-4ead-844f-04a922b9c0d7" elementFormDefault="qualified">
    <xsd:import namespace="http://schemas.microsoft.com/office/2006/documentManagement/types"/>
    <xsd:import namespace="http://schemas.microsoft.com/office/infopath/2007/PartnerControls"/>
    <xsd:element name="SharedWithUsers" ma:index="30"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31" ma:displayName="内容类型"/>
        <xsd:element ref="dc:title" minOccurs="0" maxOccurs="1" ma:index="0"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emplateUrl xmlns="http://schemas.microsoft.com/sharepoint/v3" xsi:nil="true"/>
    <IsCPG xmlns="08B85384-BD5A-4389-81B1-8853E81C898A">false</IsCPG>
    <AuthenticationSubject xmlns="08B85384-BD5A-4389-81B1-8853E81C898A" xsi:nil="true"/>
    <ContractIndustry xmlns="08B85384-BD5A-4389-81B1-8853E81C898A" xsi:nil="true"/>
    <ContractProducts xmlns="08B85384-BD5A-4389-81B1-8853E81C898A" xsi:nil="true"/>
    <FileDownloads xmlns="08B85384-BD5A-4389-81B1-8853E81C898A">0</FileDownloads>
    <EncryptTypes xmlns="08B85384-BD5A-4389-81B1-8853E81C898A">内部公开</EncryptTypes>
    <ContractAmount xmlns="08B85384-BD5A-4389-81B1-8853E81C898A" xsi:nil="true"/>
    <URL xmlns="http://schemas.microsoft.com/sharepoint/v3">
      <Url xsi:nil="true"/>
      <Description xsi:nil="true"/>
    </URL>
    <FileTypes xmlns="08B85384-BD5A-4389-81B1-8853E81C898A">技术建议书;</FileTypes>
    <DirectSign xmlns="08B85384-BD5A-4389-81B1-8853E81C898A">false</DirectSign>
    <CpgProducts xmlns="08B85384-BD5A-4389-81B1-8853E81C898A" xsi:nil="true"/>
    <AuthenticationName xmlns="08B85384-BD5A-4389-81B1-8853E81C898A" xsi:nil="true"/>
    <EncryptReason xmlns="08B85384-BD5A-4389-81B1-8853E81C898A" xsi:nil="true"/>
    <AuthenticationType xmlns="08B85384-BD5A-4389-81B1-8853E81C898A" xsi:nil="true"/>
    <NetProducts xmlns="08B85384-BD5A-4389-81B1-8853E81C898A" xsi:nil="true"/>
    <OrderNumber xmlns="08B85384-BD5A-4389-81B1-8853E81C898A" xsi:nil="true"/>
    <ContractEndDate xmlns="08B85384-BD5A-4389-81B1-8853E81C898A" xsi:nil="true"/>
    <Delay xmlns="08B85384-BD5A-4389-81B1-8853E81C898A">0</Delay>
    <xd_ProgID xmlns="http://schemas.microsoft.com/sharepoint/v3" xsi:nil="true"/>
    <Remarks xmlns="08B85384-BD5A-4389-81B1-8853E81C898A" xsi:nil="true"/>
    <PMOKeyWords xmlns="08B85384-BD5A-4389-81B1-8853E81C898A" xsi:nil="true"/>
    <EndDate xmlns="08B85384-BD5A-4389-81B1-8853E81C898A">2023-12-05T00:00:00+00:00</EndDate>
    <ProductSeries xmlns="08B85384-BD5A-4389-81B1-8853E81C898A" xsi:nil="true"/>
    <CPGUrl xmlns="08B85384-BD5A-4389-81B1-8853E81C898A" xsi:nil="true"/>
    <Visitors xmlns="08B85384-BD5A-4389-81B1-8853E81C898A">
      <UserInfo>
        <DisplayName/>
        <AccountId xsi:nil="true"/>
        <AccountType/>
      </UserInfo>
    </Visitors>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2387E4-7BC8-4B52-A5EE-BD75FDC6D8E8}">
  <ds:schemaRefs/>
</ds:datastoreItem>
</file>

<file path=customXml/itemProps2.xml><?xml version="1.0" encoding="utf-8"?>
<ds:datastoreItem xmlns:ds="http://schemas.openxmlformats.org/officeDocument/2006/customXml" ds:itemID="{9E9183FE-499D-4F1C-A201-CD78D0338070}">
  <ds:schemaRefs/>
</ds:datastoreItem>
</file>

<file path=customXml/itemProps3.xml><?xml version="1.0" encoding="utf-8"?>
<ds:datastoreItem xmlns:ds="http://schemas.openxmlformats.org/officeDocument/2006/customXml" ds:itemID="{9187AC91-040E-4405-AD8B-B102E0E86730}">
  <ds:schemaRefs/>
</ds:datastoreItem>
</file>

<file path=docProps/app.xml><?xml version="1.0" encoding="utf-8"?>
<Properties xmlns="http://schemas.openxmlformats.org/officeDocument/2006/extended-properties" xmlns:vt="http://schemas.openxmlformats.org/officeDocument/2006/docPropsVTypes">
  <Template>技术白皮书中文模板(V1.2)-通用</Template>
  <Company>Hewlett-Packard Company</Company>
  <Pages>77</Pages>
  <Words>6556</Words>
  <Characters>37371</Characters>
  <Lines>311</Lines>
  <Paragraphs>87</Paragraphs>
  <TotalTime>46</TotalTime>
  <ScaleCrop>false</ScaleCrop>
  <LinksUpToDate>false</LinksUpToDate>
  <CharactersWithSpaces>43840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2023-07-28T17:30:00Z</dcterms:created>
  <dc:creator>lichangfu</dc:creator>
  <cp:lastModifiedBy>日光倾城</cp:lastModifiedBy>
  <cp:lastPrinted>2010-05-04T10:01:00Z</cp:lastPrinted>
  <dcterms:modified xsi:type="dcterms:W3CDTF">2023-11-04T08:32:30Z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0x0101007C2E198DC1CF4049808BF4C2E99B456F00D79413F84CA75146B68E7CAE50A8B94E</vt:lpwstr>
  </property>
  <property fmtid="{D5CDD505-2E9C-101B-9397-08002B2CF9AE}" pid="3" name="CPG">
    <vt:bool>false</vt:bool>
  </property>
  <property fmtid="{D5CDD505-2E9C-101B-9397-08002B2CF9AE}" pid="4" name="CPGUrl">
    <vt:lpwstr/>
  </property>
  <property fmtid="{D5CDD505-2E9C-101B-9397-08002B2CF9AE}" pid="5" name="FileTypes">
    <vt:lpwstr>方案建议书;</vt:lpwstr>
  </property>
  <property fmtid="{D5CDD505-2E9C-101B-9397-08002B2CF9AE}" pid="6" name="AuthenticationSubject">
    <vt:lpwstr/>
  </property>
  <property fmtid="{D5CDD505-2E9C-101B-9397-08002B2CF9AE}" pid="7" name="ContractEndDate">
    <vt:lpwstr/>
  </property>
  <property fmtid="{D5CDD505-2E9C-101B-9397-08002B2CF9AE}" pid="8" name="ProductSeries">
    <vt:lpwstr/>
  </property>
  <property fmtid="{D5CDD505-2E9C-101B-9397-08002B2CF9AE}" pid="9" name="FileDownloads">
    <vt:r8>349</vt:r8>
  </property>
  <property fmtid="{D5CDD505-2E9C-101B-9397-08002B2CF9AE}" pid="10" name="ContractIndustry">
    <vt:lpwstr/>
  </property>
  <property fmtid="{D5CDD505-2E9C-101B-9397-08002B2CF9AE}" pid="11" name="AuthenticationType">
    <vt:lpwstr/>
  </property>
  <property fmtid="{D5CDD505-2E9C-101B-9397-08002B2CF9AE}" pid="12" name="AuthenticationName">
    <vt:lpwstr/>
  </property>
  <property fmtid="{D5CDD505-2E9C-101B-9397-08002B2CF9AE}" pid="13" name="CpgProducts">
    <vt:lpwstr>None</vt:lpwstr>
  </property>
  <property fmtid="{D5CDD505-2E9C-101B-9397-08002B2CF9AE}" pid="14" name="NetProducts">
    <vt:lpwstr/>
  </property>
  <property fmtid="{D5CDD505-2E9C-101B-9397-08002B2CF9AE}" pid="15" name="OrderNumber">
    <vt:lpwstr/>
  </property>
  <property fmtid="{D5CDD505-2E9C-101B-9397-08002B2CF9AE}" pid="16" name="EndDate">
    <vt:filetime>2024-02-18T00:00:00Z</vt:filetime>
  </property>
  <property fmtid="{D5CDD505-2E9C-101B-9397-08002B2CF9AE}" pid="17" name="ContractProducts">
    <vt:lpwstr/>
  </property>
  <property fmtid="{D5CDD505-2E9C-101B-9397-08002B2CF9AE}" pid="18" name="DirectSign">
    <vt:bool>false</vt:bool>
  </property>
  <property fmtid="{D5CDD505-2E9C-101B-9397-08002B2CF9AE}" pid="19" name="Delay">
    <vt:lpwstr>0</vt:lpwstr>
  </property>
  <property fmtid="{D5CDD505-2E9C-101B-9397-08002B2CF9AE}" pid="20" name="EncryptReason">
    <vt:lpwstr/>
  </property>
  <property fmtid="{D5CDD505-2E9C-101B-9397-08002B2CF9AE}" pid="21" name="EncryptTypes">
    <vt:lpwstr>内部公开</vt:lpwstr>
  </property>
  <property fmtid="{D5CDD505-2E9C-101B-9397-08002B2CF9AE}" pid="22" name="Visitors">
    <vt:lpwstr/>
  </property>
  <property fmtid="{D5CDD505-2E9C-101B-9397-08002B2CF9AE}" pid="23" name="EncryptVisitors">
    <vt:lpwstr/>
  </property>
  <property fmtid="{D5CDD505-2E9C-101B-9397-08002B2CF9AE}" pid="24" name="VisitorsInternalName">
    <vt:lpwstr/>
  </property>
  <property fmtid="{D5CDD505-2E9C-101B-9397-08002B2CF9AE}" pid="25" name="KSOProductBuildVer">
    <vt:lpwstr>2052-12.1.0.15712</vt:lpwstr>
  </property>
  <property fmtid="{D5CDD505-2E9C-101B-9397-08002B2CF9AE}" pid="26" name="ICV">
    <vt:lpwstr>4BDB1CDCB2AC4030B00BEE03C79C9578_13</vt:lpwstr>
  </property>
</Properties>
</file>